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EE" w:rsidRDefault="00F13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129EE">
        <w:rPr>
          <w:rFonts w:ascii="Arial" w:hAnsi="Arial" w:cs="Arial"/>
          <w:b/>
        </w:rPr>
        <w:t>nformovaný souhlas pacienta (zákonného zástupce pacienta)</w:t>
      </w:r>
    </w:p>
    <w:p w:rsidR="009129EE" w:rsidRDefault="009129EE" w:rsidP="004537F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se scintigrafií štítné žlázy a příštítných tělísek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10"/>
      </w:tblGrid>
      <w:tr w:rsidR="009129EE" w:rsidTr="004537F3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9EE" w:rsidTr="0045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9EE" w:rsidTr="00453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9129EE" w:rsidRDefault="00912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1" w:type="dxa"/>
            <w:gridSpan w:val="4"/>
            <w:tcBorders>
              <w:left w:val="nil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9EE" w:rsidTr="004537F3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9EE" w:rsidRDefault="009129EE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9129EE">
        <w:trPr>
          <w:trHeight w:val="582"/>
        </w:trPr>
        <w:tc>
          <w:tcPr>
            <w:tcW w:w="10089" w:type="dxa"/>
            <w:vAlign w:val="center"/>
          </w:tcPr>
          <w:p w:rsidR="009129EE" w:rsidRDefault="009129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Název výkonu</w:t>
            </w:r>
          </w:p>
          <w:p w:rsidR="009129EE" w:rsidRDefault="009129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Scintigrafie štítné žlázy a příštítných tělísek</w:t>
            </w:r>
          </w:p>
        </w:tc>
      </w:tr>
    </w:tbl>
    <w:p w:rsidR="009129EE" w:rsidRDefault="009129E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129EE">
        <w:trPr>
          <w:trHeight w:val="638"/>
        </w:trPr>
        <w:tc>
          <w:tcPr>
            <w:tcW w:w="10061" w:type="dxa"/>
            <w:vAlign w:val="center"/>
          </w:tcPr>
          <w:p w:rsidR="009129EE" w:rsidRDefault="009129E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9129EE" w:rsidRPr="004537F3" w:rsidRDefault="009129EE" w:rsidP="004537F3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37F3">
              <w:rPr>
                <w:rFonts w:ascii="Arial" w:hAnsi="Arial" w:cs="Arial"/>
                <w:sz w:val="20"/>
                <w:szCs w:val="20"/>
              </w:rPr>
              <w:t>Vyšetření poskytne informaci o rozložení funkční tkáně štítné žlázy a příštítných tělísek.</w:t>
            </w:r>
          </w:p>
        </w:tc>
      </w:tr>
    </w:tbl>
    <w:p w:rsidR="009129EE" w:rsidRDefault="009129E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129EE" w:rsidTr="004537F3">
        <w:trPr>
          <w:trHeight w:val="1812"/>
        </w:trPr>
        <w:tc>
          <w:tcPr>
            <w:tcW w:w="10061" w:type="dxa"/>
            <w:vAlign w:val="center"/>
          </w:tcPr>
          <w:p w:rsidR="009129EE" w:rsidRDefault="009129E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9129EE" w:rsidRPr="004537F3" w:rsidRDefault="009129E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7F3">
              <w:rPr>
                <w:rFonts w:ascii="Arial" w:hAnsi="Arial" w:cs="Arial"/>
                <w:sz w:val="20"/>
                <w:szCs w:val="20"/>
              </w:rPr>
              <w:t xml:space="preserve">Diagnostické vyšetření spojené s nitrožilní injekční aplikací látek značených radioaktivním izotopem s krátkým poločasem rozpadu. Při následném vlastním vyšetření scintilační kamerou musí pacient ležet v klidu bez pohybu hlavy a krku - při vyšetření štítné žlázy 10 minut, při vyšetření příštítných tělísek jde o sérii několika scintigrafií s dobou nahrávání až 20 minut. </w:t>
            </w:r>
          </w:p>
          <w:p w:rsidR="009129EE" w:rsidRDefault="009129E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537F3">
              <w:rPr>
                <w:rFonts w:ascii="Arial" w:hAnsi="Arial" w:cs="Arial"/>
                <w:sz w:val="20"/>
                <w:szCs w:val="20"/>
              </w:rPr>
              <w:t>V období 2-3 měsíců před vyšetřením pacient nesmí být v kontaktu s jodem – léky (Amiodaron, atd.), rentgenové kontrastní látky, dezinfekční prostředky s jodem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129EE" w:rsidRDefault="009129E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129EE" w:rsidTr="004537F3">
        <w:trPr>
          <w:trHeight w:val="875"/>
        </w:trPr>
        <w:tc>
          <w:tcPr>
            <w:tcW w:w="10061" w:type="dxa"/>
            <w:vAlign w:val="center"/>
          </w:tcPr>
          <w:p w:rsidR="009129EE" w:rsidRDefault="009129EE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9129EE" w:rsidRPr="004537F3" w:rsidRDefault="009129EE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37F3">
              <w:rPr>
                <w:rFonts w:ascii="Arial" w:hAnsi="Arial" w:cs="Arial"/>
                <w:sz w:val="20"/>
                <w:szCs w:val="20"/>
              </w:rPr>
              <w:t>Získání informace o rozložení funkce v parenchymu štítné žlázy. Stanovení lokalizace hyperfunkčních příštítných tělísek. Tyto informace jsou významné pro stanovení diagnózy a případnou léčbu.</w:t>
            </w:r>
          </w:p>
        </w:tc>
      </w:tr>
    </w:tbl>
    <w:p w:rsidR="009129EE" w:rsidRDefault="009129EE">
      <w:pPr>
        <w:rPr>
          <w:rFonts w:ascii="Arial" w:hAnsi="Arial" w:cs="Arial"/>
          <w:b/>
          <w:sz w:val="6"/>
          <w:szCs w:val="6"/>
          <w:u w:val="single"/>
        </w:rPr>
      </w:pPr>
    </w:p>
    <w:p w:rsidR="009129EE" w:rsidRDefault="009129EE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129EE" w:rsidTr="004537F3">
        <w:trPr>
          <w:trHeight w:val="1043"/>
        </w:trPr>
        <w:tc>
          <w:tcPr>
            <w:tcW w:w="10061" w:type="dxa"/>
            <w:vAlign w:val="center"/>
          </w:tcPr>
          <w:p w:rsidR="009129EE" w:rsidRDefault="009129E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9129EE" w:rsidRPr="004537F3" w:rsidRDefault="009129E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37F3">
              <w:rPr>
                <w:rFonts w:ascii="Arial" w:hAnsi="Arial" w:cs="Arial"/>
                <w:sz w:val="20"/>
                <w:szCs w:val="20"/>
              </w:rPr>
              <w:t>Sonografie a CT vyšetření krku poskytují informaci o struktuře tkání na krku, scintigrafie poskytuje informaci o rozložení funkce – jde o odlišný charakter informace. Vyšetření volí indikující lékař na základě aktuální situace, při hyperfunkčních ložiskových změnách je scintigrafie nezastupitelná.</w:t>
            </w:r>
          </w:p>
        </w:tc>
      </w:tr>
    </w:tbl>
    <w:p w:rsidR="009129EE" w:rsidRDefault="009129EE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129EE" w:rsidTr="004537F3">
        <w:trPr>
          <w:trHeight w:val="596"/>
        </w:trPr>
        <w:tc>
          <w:tcPr>
            <w:tcW w:w="10061" w:type="dxa"/>
            <w:vAlign w:val="center"/>
          </w:tcPr>
          <w:p w:rsidR="009129EE" w:rsidRDefault="009129E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9129EE" w:rsidRPr="004537F3" w:rsidRDefault="009129EE">
            <w:pPr>
              <w:spacing w:before="60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4537F3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</w:t>
            </w:r>
          </w:p>
        </w:tc>
      </w:tr>
    </w:tbl>
    <w:p w:rsidR="009129EE" w:rsidRDefault="009129E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9129EE" w:rsidTr="004537F3">
        <w:trPr>
          <w:trHeight w:val="596"/>
        </w:trPr>
        <w:tc>
          <w:tcPr>
            <w:tcW w:w="10061" w:type="dxa"/>
            <w:vAlign w:val="center"/>
          </w:tcPr>
          <w:p w:rsidR="009129EE" w:rsidRDefault="009129E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9129EE" w:rsidRPr="004537F3" w:rsidRDefault="009129E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37F3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9129EE" w:rsidRDefault="009129E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51"/>
      </w:tblGrid>
      <w:tr w:rsidR="009129EE" w:rsidTr="004537F3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10051" w:type="dxa"/>
            <w:vAlign w:val="center"/>
          </w:tcPr>
          <w:p w:rsidR="009129EE" w:rsidRDefault="009129EE" w:rsidP="004537F3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9129EE" w:rsidRPr="004537F3" w:rsidRDefault="009129EE" w:rsidP="004537F3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37F3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4537F3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4537F3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9129EE" w:rsidRDefault="009129EE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38247E" w:rsidTr="00303DA0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47E" w:rsidRDefault="0038247E" w:rsidP="0038247E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E6241F" w:rsidRPr="00E6241F" w:rsidRDefault="00E6241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9129EE" w:rsidTr="00E6241F">
        <w:trPr>
          <w:trHeight w:val="360"/>
        </w:trPr>
        <w:tc>
          <w:tcPr>
            <w:tcW w:w="9011" w:type="dxa"/>
            <w:vAlign w:val="center"/>
          </w:tcPr>
          <w:p w:rsidR="009129EE" w:rsidRDefault="00912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129EE" w:rsidTr="00E6241F">
        <w:trPr>
          <w:trHeight w:val="360"/>
        </w:trPr>
        <w:tc>
          <w:tcPr>
            <w:tcW w:w="9011" w:type="dxa"/>
            <w:vAlign w:val="center"/>
          </w:tcPr>
          <w:p w:rsidR="009129EE" w:rsidRDefault="00912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129EE" w:rsidTr="00E6241F">
        <w:trPr>
          <w:trHeight w:val="541"/>
        </w:trPr>
        <w:tc>
          <w:tcPr>
            <w:tcW w:w="9011" w:type="dxa"/>
            <w:vAlign w:val="center"/>
          </w:tcPr>
          <w:p w:rsidR="009129EE" w:rsidRDefault="009129E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4537F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4537F3" w:rsidRDefault="004537F3"/>
    <w:p w:rsidR="004537F3" w:rsidRDefault="004537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9129EE" w:rsidTr="00E6241F">
        <w:trPr>
          <w:trHeight w:val="722"/>
        </w:trPr>
        <w:tc>
          <w:tcPr>
            <w:tcW w:w="9011" w:type="dxa"/>
            <w:vAlign w:val="center"/>
          </w:tcPr>
          <w:p w:rsidR="009129EE" w:rsidRDefault="00912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129EE" w:rsidTr="00E6241F">
        <w:trPr>
          <w:trHeight w:val="512"/>
        </w:trPr>
        <w:tc>
          <w:tcPr>
            <w:tcW w:w="9011" w:type="dxa"/>
            <w:vAlign w:val="center"/>
          </w:tcPr>
          <w:p w:rsidR="009129EE" w:rsidRDefault="00912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4537F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129EE">
        <w:trPr>
          <w:trHeight w:val="778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9129EE" w:rsidRDefault="009129EE" w:rsidP="00453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4537F3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4537F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9129EE" w:rsidRDefault="009129EE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9129EE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9EE" w:rsidRDefault="00912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9129EE">
        <w:trPr>
          <w:trHeight w:val="763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9EE" w:rsidRDefault="009129EE" w:rsidP="004537F3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129EE" w:rsidTr="00E6241F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9EE" w:rsidRDefault="009129EE" w:rsidP="0095661D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 žádné  mně  známé údaje o mém zdravotním stavu, jež by mohly nepříznivě ovlivnit moji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129EE" w:rsidTr="00E6241F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9EE" w:rsidRDefault="009129EE" w:rsidP="004537F3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9EE" w:rsidRDefault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8247E" w:rsidTr="00E6241F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47E" w:rsidRPr="005830BB" w:rsidRDefault="0038247E" w:rsidP="00303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47E" w:rsidRDefault="0038247E" w:rsidP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247E" w:rsidRDefault="0038247E" w:rsidP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8247E" w:rsidTr="00E6241F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247E" w:rsidRPr="005830BB" w:rsidRDefault="0038247E" w:rsidP="00303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247E" w:rsidRDefault="0038247E" w:rsidP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7E" w:rsidRDefault="0038247E" w:rsidP="009129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38247E" w:rsidRDefault="0038247E" w:rsidP="0038247E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38247E" w:rsidTr="00303DA0">
        <w:trPr>
          <w:trHeight w:val="344"/>
        </w:trPr>
        <w:tc>
          <w:tcPr>
            <w:tcW w:w="2376" w:type="dxa"/>
            <w:vAlign w:val="center"/>
          </w:tcPr>
          <w:p w:rsidR="0038247E" w:rsidRDefault="0038247E" w:rsidP="00303DA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38247E" w:rsidRDefault="0038247E" w:rsidP="00303DA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38247E" w:rsidRDefault="0038247E" w:rsidP="00303DA0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38247E" w:rsidTr="00303DA0">
        <w:trPr>
          <w:trHeight w:val="629"/>
        </w:trPr>
        <w:tc>
          <w:tcPr>
            <w:tcW w:w="2376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8247E" w:rsidRDefault="0038247E" w:rsidP="0038247E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38247E" w:rsidTr="00303DA0">
        <w:trPr>
          <w:trHeight w:val="556"/>
        </w:trPr>
        <w:tc>
          <w:tcPr>
            <w:tcW w:w="5148" w:type="dxa"/>
            <w:vAlign w:val="center"/>
          </w:tcPr>
          <w:p w:rsidR="0038247E" w:rsidRDefault="0038247E" w:rsidP="00303DA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38247E" w:rsidRDefault="0038247E" w:rsidP="00303DA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38247E" w:rsidTr="00303DA0">
        <w:trPr>
          <w:trHeight w:val="851"/>
        </w:trPr>
        <w:tc>
          <w:tcPr>
            <w:tcW w:w="5148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8247E" w:rsidRDefault="0038247E" w:rsidP="0038247E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38247E" w:rsidTr="00303DA0">
        <w:trPr>
          <w:trHeight w:val="471"/>
        </w:trPr>
        <w:tc>
          <w:tcPr>
            <w:tcW w:w="3652" w:type="dxa"/>
            <w:vAlign w:val="center"/>
          </w:tcPr>
          <w:p w:rsidR="0038247E" w:rsidRDefault="0038247E" w:rsidP="00303DA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38247E" w:rsidRDefault="0038247E" w:rsidP="00303DA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38247E" w:rsidRDefault="0038247E" w:rsidP="00303DA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38247E" w:rsidRDefault="0038247E" w:rsidP="00303DA0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38247E" w:rsidTr="00303DA0">
        <w:trPr>
          <w:trHeight w:val="851"/>
        </w:trPr>
        <w:tc>
          <w:tcPr>
            <w:tcW w:w="3652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8247E" w:rsidRDefault="0038247E" w:rsidP="0038247E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38247E" w:rsidRDefault="0038247E" w:rsidP="0038247E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38247E" w:rsidRDefault="0038247E" w:rsidP="0038247E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38247E" w:rsidTr="00303DA0">
        <w:trPr>
          <w:trHeight w:val="520"/>
        </w:trPr>
        <w:tc>
          <w:tcPr>
            <w:tcW w:w="10047" w:type="dxa"/>
            <w:gridSpan w:val="4"/>
            <w:vAlign w:val="center"/>
          </w:tcPr>
          <w:p w:rsidR="0038247E" w:rsidRDefault="0038247E" w:rsidP="00303DA0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38247E" w:rsidTr="00303DA0">
        <w:trPr>
          <w:trHeight w:val="740"/>
        </w:trPr>
        <w:tc>
          <w:tcPr>
            <w:tcW w:w="10047" w:type="dxa"/>
            <w:gridSpan w:val="4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8247E" w:rsidTr="00303DA0">
        <w:trPr>
          <w:trHeight w:val="330"/>
        </w:trPr>
        <w:tc>
          <w:tcPr>
            <w:tcW w:w="10047" w:type="dxa"/>
            <w:gridSpan w:val="4"/>
            <w:vAlign w:val="center"/>
          </w:tcPr>
          <w:p w:rsidR="0038247E" w:rsidRDefault="0038247E" w:rsidP="00303DA0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38247E" w:rsidTr="00303DA0">
        <w:trPr>
          <w:trHeight w:val="637"/>
        </w:trPr>
        <w:tc>
          <w:tcPr>
            <w:tcW w:w="10047" w:type="dxa"/>
            <w:gridSpan w:val="4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8247E" w:rsidTr="00303DA0">
        <w:trPr>
          <w:trHeight w:val="505"/>
        </w:trPr>
        <w:tc>
          <w:tcPr>
            <w:tcW w:w="3510" w:type="dxa"/>
            <w:vAlign w:val="center"/>
          </w:tcPr>
          <w:p w:rsidR="0038247E" w:rsidRPr="00DC238E" w:rsidRDefault="0038247E" w:rsidP="00303DA0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38247E" w:rsidRPr="00DC238E" w:rsidRDefault="0038247E" w:rsidP="00303DA0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38247E" w:rsidRPr="00DC238E" w:rsidRDefault="0038247E" w:rsidP="00303DA0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38247E" w:rsidRPr="00DC238E" w:rsidRDefault="0038247E" w:rsidP="00303DA0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38247E" w:rsidTr="00303DA0">
        <w:trPr>
          <w:trHeight w:val="757"/>
        </w:trPr>
        <w:tc>
          <w:tcPr>
            <w:tcW w:w="3510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38247E" w:rsidRDefault="0038247E" w:rsidP="00303DA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8247E" w:rsidRDefault="0038247E" w:rsidP="0038247E">
      <w:pPr>
        <w:rPr>
          <w:sz w:val="6"/>
          <w:szCs w:val="6"/>
        </w:rPr>
      </w:pPr>
    </w:p>
    <w:p w:rsidR="0038247E" w:rsidRDefault="0038247E" w:rsidP="0038247E">
      <w:pPr>
        <w:rPr>
          <w:sz w:val="6"/>
          <w:szCs w:val="6"/>
        </w:rPr>
      </w:pPr>
    </w:p>
    <w:p w:rsidR="0038247E" w:rsidRDefault="0038247E" w:rsidP="0038247E">
      <w:pPr>
        <w:jc w:val="both"/>
        <w:rPr>
          <w:sz w:val="6"/>
          <w:szCs w:val="6"/>
        </w:rPr>
      </w:pPr>
    </w:p>
    <w:p w:rsidR="00F136F6" w:rsidRDefault="00F136F6" w:rsidP="0038247E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</w:p>
    <w:sectPr w:rsidR="00F136F6">
      <w:footerReference w:type="default" r:id="rId8"/>
      <w:headerReference w:type="first" r:id="rId9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DD" w:rsidRDefault="002525DD">
      <w:pPr>
        <w:pStyle w:val="Zhlav"/>
      </w:pPr>
      <w:r>
        <w:separator/>
      </w:r>
    </w:p>
  </w:endnote>
  <w:endnote w:type="continuationSeparator" w:id="0">
    <w:p w:rsidR="002525DD" w:rsidRDefault="002525DD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F6" w:rsidRDefault="00F136F6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scintigrafií štítné žlázy a přištítných tělísek (Fm-L009-001-KNM-009)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D426F2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D426F2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DD" w:rsidRDefault="002525DD">
      <w:pPr>
        <w:pStyle w:val="Zhlav"/>
      </w:pPr>
      <w:r>
        <w:separator/>
      </w:r>
    </w:p>
  </w:footnote>
  <w:footnote w:type="continuationSeparator" w:id="0">
    <w:p w:rsidR="002525DD" w:rsidRDefault="002525DD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38247E" w:rsidTr="00303DA0">
      <w:trPr>
        <w:cantSplit/>
        <w:trHeight w:val="719"/>
      </w:trPr>
      <w:tc>
        <w:tcPr>
          <w:tcW w:w="3089" w:type="dxa"/>
        </w:tcPr>
        <w:p w:rsidR="0038247E" w:rsidRDefault="00D426F2" w:rsidP="00303DA0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38247E" w:rsidRPr="00EA642D" w:rsidRDefault="0038247E" w:rsidP="00303DA0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38247E" w:rsidRDefault="0038247E" w:rsidP="0038247E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Fm-L009-001-KNM-009</w:t>
          </w:r>
        </w:p>
      </w:tc>
    </w:tr>
    <w:tr w:rsidR="0038247E" w:rsidTr="00303DA0">
      <w:trPr>
        <w:cantSplit/>
        <w:trHeight w:val="532"/>
      </w:trPr>
      <w:tc>
        <w:tcPr>
          <w:tcW w:w="3089" w:type="dxa"/>
        </w:tcPr>
        <w:p w:rsidR="0038247E" w:rsidRDefault="0038247E" w:rsidP="00303DA0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38247E" w:rsidRDefault="0038247E" w:rsidP="00303DA0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38247E" w:rsidRDefault="0038247E" w:rsidP="00303DA0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38247E" w:rsidRDefault="0038247E" w:rsidP="00303DA0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38247E" w:rsidRDefault="0038247E" w:rsidP="0038247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6, str. 1/2</w:t>
          </w:r>
        </w:p>
      </w:tc>
    </w:tr>
  </w:tbl>
  <w:p w:rsidR="00F136F6" w:rsidRDefault="00F136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96F"/>
    <w:multiLevelType w:val="hybridMultilevel"/>
    <w:tmpl w:val="EF96104E"/>
    <w:lvl w:ilvl="0" w:tplc="2B84F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241F"/>
    <w:rsid w:val="000306CE"/>
    <w:rsid w:val="000F4D21"/>
    <w:rsid w:val="00154401"/>
    <w:rsid w:val="002525DD"/>
    <w:rsid w:val="00302125"/>
    <w:rsid w:val="00303DA0"/>
    <w:rsid w:val="00340330"/>
    <w:rsid w:val="0038247E"/>
    <w:rsid w:val="003C2834"/>
    <w:rsid w:val="004537F3"/>
    <w:rsid w:val="006854D9"/>
    <w:rsid w:val="00741960"/>
    <w:rsid w:val="009129EE"/>
    <w:rsid w:val="0095661D"/>
    <w:rsid w:val="00CB201C"/>
    <w:rsid w:val="00D426F2"/>
    <w:rsid w:val="00E45D73"/>
    <w:rsid w:val="00E6241F"/>
    <w:rsid w:val="00F1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9048B-434E-4F57-9713-B8F64430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4715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2019-03-28T10:16:00Z</cp:lastPrinted>
  <dcterms:created xsi:type="dcterms:W3CDTF">2019-03-28T12:54:00Z</dcterms:created>
  <dcterms:modified xsi:type="dcterms:W3CDTF">2019-03-28T12:54:00Z</dcterms:modified>
</cp:coreProperties>
</file>