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15" w:rsidRDefault="009C3D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60A15">
        <w:rPr>
          <w:rFonts w:ascii="Arial" w:hAnsi="Arial" w:cs="Arial"/>
          <w:b/>
        </w:rPr>
        <w:t>nformovaný souhlas pacienta (zákonného zástupce pacienta)</w:t>
      </w:r>
    </w:p>
    <w:p w:rsidR="00A60A15" w:rsidRDefault="00A60A15" w:rsidP="009C3DC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radionuklidovým stanovením celkové ledvinné funkce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426"/>
        <w:gridCol w:w="2321"/>
        <w:gridCol w:w="1469"/>
        <w:gridCol w:w="309"/>
        <w:gridCol w:w="2310"/>
      </w:tblGrid>
      <w:tr w:rsidR="00A60A15" w:rsidTr="009C3DCC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15" w:rsidTr="009C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15" w:rsidTr="009C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A60A15" w:rsidRDefault="00A60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09" w:type="dxa"/>
            <w:gridSpan w:val="4"/>
            <w:tcBorders>
              <w:left w:val="nil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15" w:rsidTr="009C3DCC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A15" w:rsidRDefault="00A60A15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A60A15">
        <w:trPr>
          <w:trHeight w:val="666"/>
        </w:trPr>
        <w:tc>
          <w:tcPr>
            <w:tcW w:w="10089" w:type="dxa"/>
            <w:vAlign w:val="center"/>
          </w:tcPr>
          <w:p w:rsidR="00A60A15" w:rsidRDefault="00A60A1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A60A15" w:rsidRDefault="00A60A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Radionuklidové stanovení celkové ledvinné funkce</w:t>
            </w:r>
          </w:p>
        </w:tc>
      </w:tr>
    </w:tbl>
    <w:p w:rsidR="00A60A15" w:rsidRDefault="00A60A1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A60A15" w:rsidTr="00DA3186">
        <w:trPr>
          <w:trHeight w:val="693"/>
        </w:trPr>
        <w:tc>
          <w:tcPr>
            <w:tcW w:w="10091" w:type="dxa"/>
            <w:vAlign w:val="center"/>
          </w:tcPr>
          <w:p w:rsidR="00A60A15" w:rsidRDefault="00A60A1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A60A15" w:rsidRPr="009C3DCC" w:rsidRDefault="00A60A15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3DCC">
              <w:rPr>
                <w:rFonts w:ascii="Arial" w:hAnsi="Arial" w:cs="Arial"/>
                <w:sz w:val="20"/>
                <w:szCs w:val="20"/>
              </w:rPr>
              <w:t>Vyšetření poskytne informaci o celkové ledvinné funkci.</w:t>
            </w:r>
          </w:p>
        </w:tc>
      </w:tr>
    </w:tbl>
    <w:p w:rsidR="00A60A15" w:rsidRDefault="00A60A1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A60A15" w:rsidTr="00DA3186">
        <w:trPr>
          <w:trHeight w:val="1266"/>
        </w:trPr>
        <w:tc>
          <w:tcPr>
            <w:tcW w:w="10091" w:type="dxa"/>
            <w:vAlign w:val="center"/>
          </w:tcPr>
          <w:p w:rsidR="00A60A15" w:rsidRDefault="00A60A15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A60A15" w:rsidRPr="009C3DCC" w:rsidRDefault="00A60A15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3DCC">
              <w:rPr>
                <w:rFonts w:ascii="Arial" w:hAnsi="Arial" w:cs="Arial"/>
                <w:sz w:val="20"/>
                <w:szCs w:val="20"/>
              </w:rPr>
              <w:t xml:space="preserve">Při tomto diagnostickém vyšetření je pacientovi nitrožilně podána látka vylučovaná ledvinami, která je označena velmi malým množstvím radioaktivní látky s krátkým poločasem přeměny. Pomocí krevních odběrů se sleduje, jak rychle je látka vylučována ledvinami – s rychlostí poklesu množství farmaka v krvi se určuje ledvinná funkce. </w:t>
            </w:r>
          </w:p>
        </w:tc>
      </w:tr>
    </w:tbl>
    <w:p w:rsidR="00A60A15" w:rsidRDefault="00A60A1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A60A15" w:rsidTr="00DA3186">
        <w:trPr>
          <w:trHeight w:val="624"/>
        </w:trPr>
        <w:tc>
          <w:tcPr>
            <w:tcW w:w="10091" w:type="dxa"/>
            <w:vAlign w:val="center"/>
          </w:tcPr>
          <w:p w:rsidR="00A60A15" w:rsidRDefault="00A60A15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A60A15" w:rsidRPr="009C3DCC" w:rsidRDefault="00A60A15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3DCC">
              <w:rPr>
                <w:rFonts w:ascii="Arial" w:hAnsi="Arial" w:cs="Arial"/>
                <w:sz w:val="20"/>
                <w:szCs w:val="20"/>
              </w:rPr>
              <w:t>Informace o celkové ledvinné funkci je významná pro zpřesnění diagnózy a volbu léčby.</w:t>
            </w:r>
          </w:p>
        </w:tc>
      </w:tr>
    </w:tbl>
    <w:p w:rsidR="00A60A15" w:rsidRDefault="00A60A15">
      <w:pPr>
        <w:rPr>
          <w:rFonts w:ascii="Arial" w:hAnsi="Arial" w:cs="Arial"/>
          <w:b/>
          <w:sz w:val="6"/>
          <w:szCs w:val="6"/>
          <w:u w:val="single"/>
        </w:rPr>
      </w:pPr>
    </w:p>
    <w:p w:rsidR="00A60A15" w:rsidRDefault="00A60A15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A60A15" w:rsidTr="00DA3186">
        <w:trPr>
          <w:trHeight w:val="610"/>
        </w:trPr>
        <w:tc>
          <w:tcPr>
            <w:tcW w:w="10091" w:type="dxa"/>
            <w:vAlign w:val="center"/>
          </w:tcPr>
          <w:p w:rsidR="00A60A15" w:rsidRDefault="00A60A1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A60A15" w:rsidRPr="000E4E19" w:rsidRDefault="00A60A15">
            <w:pPr>
              <w:spacing w:before="60"/>
              <w:rPr>
                <w:rFonts w:ascii="Arial" w:hAnsi="Arial" w:cs="Arial"/>
                <w:strike/>
                <w:sz w:val="20"/>
                <w:szCs w:val="20"/>
              </w:rPr>
            </w:pPr>
            <w:r w:rsidRPr="000E4E19">
              <w:rPr>
                <w:rFonts w:ascii="Arial" w:hAnsi="Arial" w:cs="Arial"/>
                <w:sz w:val="20"/>
                <w:szCs w:val="20"/>
              </w:rPr>
              <w:t xml:space="preserve">Alternativou je biochemické vyšetření se sběrem moči. </w:t>
            </w:r>
          </w:p>
        </w:tc>
      </w:tr>
    </w:tbl>
    <w:p w:rsidR="00A60A15" w:rsidRDefault="00A60A15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A60A15" w:rsidTr="00DA3186">
        <w:trPr>
          <w:trHeight w:val="736"/>
        </w:trPr>
        <w:tc>
          <w:tcPr>
            <w:tcW w:w="10091" w:type="dxa"/>
            <w:vAlign w:val="center"/>
          </w:tcPr>
          <w:p w:rsidR="00A60A15" w:rsidRDefault="00A60A15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A60A15" w:rsidRDefault="00A60A15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Radiační zátěž spojená s tímto vyšetřením je obdobná jako u většiny radiodiagnostických postupů. </w:t>
            </w:r>
          </w:p>
        </w:tc>
      </w:tr>
    </w:tbl>
    <w:p w:rsidR="00A60A15" w:rsidRDefault="00A60A1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91"/>
      </w:tblGrid>
      <w:tr w:rsidR="00A60A15" w:rsidTr="00DA3186">
        <w:trPr>
          <w:trHeight w:val="638"/>
        </w:trPr>
        <w:tc>
          <w:tcPr>
            <w:tcW w:w="10091" w:type="dxa"/>
            <w:vAlign w:val="center"/>
          </w:tcPr>
          <w:p w:rsidR="00A60A15" w:rsidRDefault="00A60A15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A60A15" w:rsidRPr="000E4E19" w:rsidRDefault="00A60A15">
            <w:pPr>
              <w:tabs>
                <w:tab w:val="left" w:pos="739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E4E19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  <w:r w:rsidRPr="000E4E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60A15" w:rsidRDefault="00A60A1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1"/>
      </w:tblGrid>
      <w:tr w:rsidR="00A60A15" w:rsidTr="00DA3186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0091" w:type="dxa"/>
            <w:vAlign w:val="center"/>
          </w:tcPr>
          <w:p w:rsidR="00A60A15" w:rsidRDefault="00A60A15" w:rsidP="000E4E19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A60A15" w:rsidRPr="000E4E19" w:rsidRDefault="00A60A15" w:rsidP="000E4E19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4E19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0E4E19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0E4E19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A60A15" w:rsidRDefault="00A60A15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DA3186" w:rsidTr="00916AA5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186" w:rsidRDefault="00DA3186" w:rsidP="00DA3186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254BF1" w:rsidRPr="00254BF1" w:rsidRDefault="00254BF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A60A15" w:rsidTr="000E4E19">
        <w:trPr>
          <w:trHeight w:val="461"/>
        </w:trPr>
        <w:tc>
          <w:tcPr>
            <w:tcW w:w="9011" w:type="dxa"/>
            <w:vAlign w:val="center"/>
          </w:tcPr>
          <w:p w:rsidR="00A60A15" w:rsidRDefault="00A60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60A15" w:rsidTr="000E4E19">
        <w:trPr>
          <w:trHeight w:val="461"/>
        </w:trPr>
        <w:tc>
          <w:tcPr>
            <w:tcW w:w="9011" w:type="dxa"/>
            <w:vAlign w:val="center"/>
          </w:tcPr>
          <w:p w:rsidR="00A60A15" w:rsidRDefault="00A60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60A15">
        <w:trPr>
          <w:trHeight w:val="520"/>
        </w:trPr>
        <w:tc>
          <w:tcPr>
            <w:tcW w:w="9011" w:type="dxa"/>
            <w:vAlign w:val="center"/>
          </w:tcPr>
          <w:p w:rsidR="00A60A15" w:rsidRDefault="00A60A1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srozumitelně informován(a) o alternativách výkonu prováděných ve FN Olomouc, ze kterých mám možnost volit.</w:t>
            </w:r>
          </w:p>
        </w:tc>
        <w:tc>
          <w:tcPr>
            <w:tcW w:w="588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60A15" w:rsidTr="00254BF1">
        <w:trPr>
          <w:trHeight w:val="764"/>
        </w:trPr>
        <w:tc>
          <w:tcPr>
            <w:tcW w:w="9011" w:type="dxa"/>
            <w:vAlign w:val="center"/>
          </w:tcPr>
          <w:p w:rsidR="00A60A15" w:rsidRDefault="00A60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0E4E19" w:rsidRDefault="000E4E19"/>
    <w:p w:rsidR="000E4E19" w:rsidRDefault="000E4E19"/>
    <w:p w:rsidR="00395A9B" w:rsidRDefault="00395A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A60A15" w:rsidTr="00254BF1">
        <w:trPr>
          <w:trHeight w:val="540"/>
        </w:trPr>
        <w:tc>
          <w:tcPr>
            <w:tcW w:w="9011" w:type="dxa"/>
            <w:vAlign w:val="center"/>
          </w:tcPr>
          <w:p w:rsidR="00A60A15" w:rsidRDefault="00A60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léčebném režimu a preventivních opatřeních, která jsou vhodná, o provedení kontrolních zdravotních výkonů.</w:t>
            </w:r>
          </w:p>
        </w:tc>
        <w:tc>
          <w:tcPr>
            <w:tcW w:w="588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60A15" w:rsidTr="00254BF1">
        <w:trPr>
          <w:trHeight w:val="750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A60A15" w:rsidRDefault="00A60A15" w:rsidP="000E4E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0E4E19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>, které mi byly zdravotnickým pracovníkem sděleny 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A60A15" w:rsidRDefault="00A60A15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A60A15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A15" w:rsidRDefault="00A60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A60A15">
        <w:trPr>
          <w:trHeight w:val="80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A15" w:rsidRDefault="00A60A15" w:rsidP="000E4E1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60A15" w:rsidTr="00254BF1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A15" w:rsidRDefault="00A60A15" w:rsidP="000E4E1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 lékařům nezamlčel(a)  žádné  mně  známé údaje o mém zdravotním stavu, jež by mohly nepříznivě ovlivnit moji 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60A15" w:rsidTr="00254BF1">
        <w:trPr>
          <w:trHeight w:val="54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A15" w:rsidRDefault="00A60A15" w:rsidP="000E4E1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A15" w:rsidRDefault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A3186" w:rsidTr="00DA3186">
        <w:trPr>
          <w:trHeight w:val="52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186" w:rsidRPr="005830BB" w:rsidRDefault="00DA3186" w:rsidP="00916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3186" w:rsidRDefault="00DA3186" w:rsidP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3186" w:rsidRDefault="00DA3186" w:rsidP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A3186" w:rsidTr="00DA3186">
        <w:trPr>
          <w:trHeight w:val="702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3186" w:rsidRPr="005830BB" w:rsidRDefault="00DA3186" w:rsidP="00916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3186" w:rsidRDefault="00DA3186" w:rsidP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86" w:rsidRDefault="00DA3186" w:rsidP="00A60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DA3186" w:rsidRDefault="00DA3186" w:rsidP="00DA3186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DA3186" w:rsidTr="00916AA5">
        <w:trPr>
          <w:trHeight w:val="344"/>
        </w:trPr>
        <w:tc>
          <w:tcPr>
            <w:tcW w:w="2376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DA3186" w:rsidTr="00916AA5">
        <w:trPr>
          <w:trHeight w:val="629"/>
        </w:trPr>
        <w:tc>
          <w:tcPr>
            <w:tcW w:w="2376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A3186" w:rsidRDefault="00DA3186" w:rsidP="00DA3186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DA3186" w:rsidTr="00916AA5">
        <w:trPr>
          <w:trHeight w:val="556"/>
        </w:trPr>
        <w:tc>
          <w:tcPr>
            <w:tcW w:w="5148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DA3186" w:rsidTr="00916AA5">
        <w:trPr>
          <w:trHeight w:val="851"/>
        </w:trPr>
        <w:tc>
          <w:tcPr>
            <w:tcW w:w="5148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A3186" w:rsidRDefault="00DA3186" w:rsidP="00DA3186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DA3186" w:rsidTr="00916AA5">
        <w:trPr>
          <w:trHeight w:val="471"/>
        </w:trPr>
        <w:tc>
          <w:tcPr>
            <w:tcW w:w="3652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DA3186" w:rsidRDefault="00DA3186" w:rsidP="00916AA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DA3186" w:rsidTr="00916AA5">
        <w:trPr>
          <w:trHeight w:val="851"/>
        </w:trPr>
        <w:tc>
          <w:tcPr>
            <w:tcW w:w="3652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A3186" w:rsidRDefault="00DA3186" w:rsidP="00DA3186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DA3186" w:rsidRDefault="00DA3186" w:rsidP="00DA3186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DA3186" w:rsidRDefault="00DA3186" w:rsidP="00DA3186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DA3186" w:rsidTr="00916AA5">
        <w:trPr>
          <w:trHeight w:val="520"/>
        </w:trPr>
        <w:tc>
          <w:tcPr>
            <w:tcW w:w="10047" w:type="dxa"/>
            <w:gridSpan w:val="4"/>
            <w:vAlign w:val="center"/>
          </w:tcPr>
          <w:p w:rsidR="00DA3186" w:rsidRDefault="00DA3186" w:rsidP="00916AA5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DA3186" w:rsidTr="00916AA5">
        <w:trPr>
          <w:trHeight w:val="740"/>
        </w:trPr>
        <w:tc>
          <w:tcPr>
            <w:tcW w:w="10047" w:type="dxa"/>
            <w:gridSpan w:val="4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A3186" w:rsidTr="00916AA5">
        <w:trPr>
          <w:trHeight w:val="330"/>
        </w:trPr>
        <w:tc>
          <w:tcPr>
            <w:tcW w:w="10047" w:type="dxa"/>
            <w:gridSpan w:val="4"/>
            <w:vAlign w:val="center"/>
          </w:tcPr>
          <w:p w:rsidR="00DA3186" w:rsidRDefault="00DA3186" w:rsidP="00916AA5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DA3186" w:rsidTr="00916AA5">
        <w:trPr>
          <w:trHeight w:val="637"/>
        </w:trPr>
        <w:tc>
          <w:tcPr>
            <w:tcW w:w="10047" w:type="dxa"/>
            <w:gridSpan w:val="4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A3186" w:rsidTr="00916AA5">
        <w:trPr>
          <w:trHeight w:val="505"/>
        </w:trPr>
        <w:tc>
          <w:tcPr>
            <w:tcW w:w="3510" w:type="dxa"/>
            <w:vAlign w:val="center"/>
          </w:tcPr>
          <w:p w:rsidR="00DA3186" w:rsidRPr="00DC238E" w:rsidRDefault="00DA3186" w:rsidP="00916A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DA3186" w:rsidRPr="00DC238E" w:rsidRDefault="00DA3186" w:rsidP="00916A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DA3186" w:rsidRPr="00DC238E" w:rsidRDefault="00DA3186" w:rsidP="00916A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DA3186" w:rsidRPr="00DC238E" w:rsidRDefault="00DA3186" w:rsidP="00916A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DA3186" w:rsidTr="00916AA5">
        <w:trPr>
          <w:trHeight w:val="757"/>
        </w:trPr>
        <w:tc>
          <w:tcPr>
            <w:tcW w:w="3510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DA3186" w:rsidRDefault="00DA3186" w:rsidP="00916AA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60A15" w:rsidRDefault="00A60A15"/>
    <w:sectPr w:rsidR="00A60A15">
      <w:footerReference w:type="default" r:id="rId7"/>
      <w:headerReference w:type="first" r:id="rId8"/>
      <w:pgSz w:w="11906" w:h="16838" w:code="9"/>
      <w:pgMar w:top="624" w:right="851" w:bottom="62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52" w:rsidRDefault="007C7F52">
      <w:pPr>
        <w:pStyle w:val="Zhlav"/>
      </w:pPr>
      <w:r>
        <w:separator/>
      </w:r>
    </w:p>
  </w:endnote>
  <w:endnote w:type="continuationSeparator" w:id="0">
    <w:p w:rsidR="007C7F52" w:rsidRDefault="007C7F52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5" w:rsidRDefault="00A60A15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 radionuklidovým stanovením celkové ledvinné funkce (Fm-L009-001-KNM-012)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7370E8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7370E8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52" w:rsidRDefault="007C7F52">
      <w:pPr>
        <w:pStyle w:val="Zhlav"/>
      </w:pPr>
      <w:r>
        <w:separator/>
      </w:r>
    </w:p>
  </w:footnote>
  <w:footnote w:type="continuationSeparator" w:id="0">
    <w:p w:rsidR="007C7F52" w:rsidRDefault="007C7F52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DA3186" w:rsidTr="00916AA5">
      <w:trPr>
        <w:cantSplit/>
        <w:trHeight w:val="719"/>
      </w:trPr>
      <w:tc>
        <w:tcPr>
          <w:tcW w:w="3089" w:type="dxa"/>
        </w:tcPr>
        <w:p w:rsidR="00DA3186" w:rsidRDefault="007370E8" w:rsidP="00916AA5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DA3186" w:rsidRPr="00EA642D" w:rsidRDefault="00DA3186" w:rsidP="00916AA5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DA3186" w:rsidRDefault="00DA3186" w:rsidP="00DA3186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Fm-L009-001-KNM-012</w:t>
          </w:r>
        </w:p>
      </w:tc>
    </w:tr>
    <w:tr w:rsidR="00DA3186" w:rsidTr="00916AA5">
      <w:trPr>
        <w:cantSplit/>
        <w:trHeight w:val="532"/>
      </w:trPr>
      <w:tc>
        <w:tcPr>
          <w:tcW w:w="3089" w:type="dxa"/>
        </w:tcPr>
        <w:p w:rsidR="00DA3186" w:rsidRDefault="00DA3186" w:rsidP="00916AA5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DA3186" w:rsidRDefault="00DA3186" w:rsidP="00916AA5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DA3186" w:rsidRDefault="00DA3186" w:rsidP="00916AA5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DA3186" w:rsidRDefault="00DA3186" w:rsidP="00916AA5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DA3186" w:rsidRDefault="00DA3186" w:rsidP="00916AA5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A60A15" w:rsidRDefault="00A60A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B857525"/>
    <w:multiLevelType w:val="hybridMultilevel"/>
    <w:tmpl w:val="B28C304A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4BF1"/>
    <w:rsid w:val="000E4E19"/>
    <w:rsid w:val="00254BF1"/>
    <w:rsid w:val="00395A9B"/>
    <w:rsid w:val="00403646"/>
    <w:rsid w:val="004D23EA"/>
    <w:rsid w:val="007370E8"/>
    <w:rsid w:val="00765FED"/>
    <w:rsid w:val="007C7F52"/>
    <w:rsid w:val="00916AA5"/>
    <w:rsid w:val="009C3DCC"/>
    <w:rsid w:val="00A60A15"/>
    <w:rsid w:val="00BC4304"/>
    <w:rsid w:val="00DA3186"/>
    <w:rsid w:val="00F8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4136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2019-03-28T10:17:00Z</cp:lastPrinted>
  <dcterms:created xsi:type="dcterms:W3CDTF">2019-03-28T12:55:00Z</dcterms:created>
  <dcterms:modified xsi:type="dcterms:W3CDTF">2019-03-28T12:55:00Z</dcterms:modified>
</cp:coreProperties>
</file>