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AF" w:rsidRDefault="00B2457C" w:rsidP="00C56AB4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inline distT="0" distB="0" distL="0" distR="0" wp14:anchorId="7F1958C4" wp14:editId="6E1CAFA5">
            <wp:extent cx="1835150" cy="469900"/>
            <wp:effectExtent l="0" t="0" r="0" b="635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EAF" w:rsidRDefault="00004EAF" w:rsidP="00C56AB4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</w:p>
    <w:p w:rsidR="00004EAF" w:rsidRDefault="00004EAF" w:rsidP="00C56AB4">
      <w:pPr>
        <w:pStyle w:val="Nzev"/>
        <w:jc w:val="left"/>
        <w:rPr>
          <w:rFonts w:ascii="Arial Narrow" w:hAnsi="Arial Narrow"/>
          <w:b w:val="0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rFonts w:ascii="Arial Black" w:hAnsi="Arial Black"/>
          <w:sz w:val="20"/>
          <w:u w:val="thick"/>
        </w:rPr>
        <w:t xml:space="preserve"> </w:t>
      </w:r>
      <w:r>
        <w:rPr>
          <w:sz w:val="16"/>
          <w:u w:val="thick"/>
        </w:rPr>
        <w:t xml:space="preserve">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004EAF" w:rsidRDefault="00004EAF">
      <w:pPr>
        <w:rPr>
          <w:rFonts w:ascii="Arial Black" w:hAnsi="Arial Black"/>
          <w:sz w:val="16"/>
          <w:u w:val="single"/>
        </w:rPr>
      </w:pPr>
    </w:p>
    <w:p w:rsidR="00004EAF" w:rsidRDefault="00004EAF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F65162">
        <w:rPr>
          <w:rFonts w:ascii="Arial Narrow" w:hAnsi="Arial Narrow"/>
          <w:spacing w:val="8"/>
          <w:sz w:val="16"/>
        </w:rPr>
        <w:t xml:space="preserve">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004EAF" w:rsidRDefault="00004EAF">
      <w:pPr>
        <w:pStyle w:val="Zkladntext"/>
        <w:jc w:val="both"/>
        <w:rPr>
          <w:rFonts w:ascii="Arial Black" w:hAnsi="Arial Black"/>
          <w:sz w:val="16"/>
          <w:u w:val="single"/>
        </w:rPr>
      </w:pPr>
      <w:r>
        <w:t xml:space="preserve">                       </w:t>
      </w:r>
    </w:p>
    <w:p w:rsidR="00004EAF" w:rsidRDefault="00004EAF">
      <w:pPr>
        <w:rPr>
          <w:rFonts w:ascii="Arial Black" w:hAnsi="Arial Black"/>
          <w:b/>
          <w:sz w:val="18"/>
        </w:rPr>
      </w:pPr>
      <w:r>
        <w:rPr>
          <w:rFonts w:ascii="Arial Black" w:hAnsi="Arial Black"/>
          <w:sz w:val="16"/>
          <w:u w:val="single"/>
        </w:rPr>
        <w:t>NÁZEV</w:t>
      </w:r>
      <w:r w:rsidRPr="000005E0">
        <w:rPr>
          <w:rFonts w:ascii="Arial Black" w:hAnsi="Arial Black"/>
          <w:b/>
          <w:sz w:val="16"/>
          <w:u w:val="single"/>
        </w:rPr>
        <w:t>:</w:t>
      </w:r>
      <w:r>
        <w:rPr>
          <w:rFonts w:ascii="Arial Black" w:hAnsi="Arial Black"/>
          <w:b/>
          <w:sz w:val="16"/>
        </w:rPr>
        <w:tab/>
        <w:t xml:space="preserve">       AUTOLOGNÍ ODBĚR: </w:t>
      </w:r>
      <w:r>
        <w:rPr>
          <w:rFonts w:ascii="Arial Black" w:hAnsi="Arial Black"/>
          <w:b/>
          <w:sz w:val="18"/>
        </w:rPr>
        <w:t xml:space="preserve">ERYTROCYTY RESUSPENDOVANÉ </w:t>
      </w:r>
    </w:p>
    <w:p w:rsidR="00004EAF" w:rsidRDefault="00004EAF">
      <w:pPr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 xml:space="preserve">                  DELEUKOTIZOVANÉ    </w:t>
      </w:r>
    </w:p>
    <w:p w:rsidR="00004EAF" w:rsidRPr="00C56AB4" w:rsidRDefault="00004EAF">
      <w:pPr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8"/>
        </w:rPr>
        <w:t xml:space="preserve">                  </w:t>
      </w:r>
    </w:p>
    <w:p w:rsidR="00004EAF" w:rsidRDefault="00004EAF">
      <w:pPr>
        <w:rPr>
          <w:rFonts w:ascii="Arial Black" w:hAnsi="Arial Black"/>
          <w:sz w:val="18"/>
        </w:rPr>
      </w:pPr>
      <w:r>
        <w:rPr>
          <w:rFonts w:ascii="Arial Black" w:hAnsi="Arial Black"/>
          <w:caps/>
          <w:sz w:val="16"/>
          <w:u w:val="single"/>
        </w:rPr>
        <w:t>Zkratka:</w:t>
      </w:r>
      <w:r>
        <w:rPr>
          <w:rFonts w:ascii="Arial" w:hAnsi="Arial"/>
          <w:caps/>
          <w:sz w:val="18"/>
        </w:rPr>
        <w:t xml:space="preserve">   </w:t>
      </w:r>
      <w:r w:rsidRPr="007A66C5">
        <w:rPr>
          <w:rFonts w:ascii="Arial Black" w:hAnsi="Arial Black"/>
          <w:b/>
          <w:caps/>
          <w:sz w:val="18"/>
        </w:rPr>
        <w:t>AE</w:t>
      </w:r>
      <w:r>
        <w:rPr>
          <w:rFonts w:ascii="Arial Black" w:hAnsi="Arial Black"/>
          <w:b/>
          <w:sz w:val="18"/>
        </w:rPr>
        <w:t>RD</w:t>
      </w:r>
    </w:p>
    <w:p w:rsidR="00004EAF" w:rsidRDefault="00004EAF" w:rsidP="000005E0">
      <w:pPr>
        <w:tabs>
          <w:tab w:val="left" w:pos="2116"/>
        </w:tabs>
        <w:rPr>
          <w:rFonts w:ascii="Arial Black" w:hAnsi="Arial Black"/>
          <w:sz w:val="14"/>
          <w:u w:val="single"/>
        </w:rPr>
      </w:pPr>
    </w:p>
    <w:p w:rsidR="00004EAF" w:rsidRDefault="00004EAF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004EAF" w:rsidRDefault="00004EAF">
      <w:pPr>
        <w:pStyle w:val="Zkladntextodsazen3"/>
        <w:ind w:left="0"/>
        <w:jc w:val="both"/>
      </w:pPr>
      <w:r>
        <w:t>Transfuzní oddělení Fakultní nemocnice Olomouc, I. P. Pavlova 185/6, 779 00  Olomouc – C 2059.</w:t>
      </w:r>
    </w:p>
    <w:p w:rsidR="00004EAF" w:rsidRDefault="00004EAF">
      <w:pPr>
        <w:rPr>
          <w:rFonts w:ascii="Arial" w:hAnsi="Arial"/>
          <w:b/>
          <w:sz w:val="14"/>
          <w:u w:val="thick"/>
        </w:rPr>
      </w:pPr>
    </w:p>
    <w:p w:rsidR="00004EAF" w:rsidRDefault="00004EAF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Složení:</w:t>
      </w:r>
    </w:p>
    <w:p w:rsidR="00004EAF" w:rsidRDefault="00004EAF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koncentrát erytrocytů,</w:t>
      </w:r>
    </w:p>
    <w:p w:rsidR="00004EAF" w:rsidRDefault="00004EAF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antikoagulační roztok CPD,</w:t>
      </w:r>
    </w:p>
    <w:p w:rsidR="00004EAF" w:rsidRDefault="00004EAF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resuspenzní roztok SAGM 100 ml.</w:t>
      </w:r>
    </w:p>
    <w:p w:rsidR="00004EAF" w:rsidRDefault="00004EAF">
      <w:pPr>
        <w:rPr>
          <w:rFonts w:ascii="Arial" w:hAnsi="Arial"/>
          <w:b/>
          <w:sz w:val="14"/>
          <w:u w:val="single"/>
        </w:rPr>
      </w:pPr>
    </w:p>
    <w:p w:rsidR="00004EAF" w:rsidRDefault="00004EAF">
      <w:pPr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</w:p>
    <w:p w:rsidR="00004EAF" w:rsidRPr="001A0878" w:rsidRDefault="00004EAF">
      <w:pPr>
        <w:jc w:val="both"/>
        <w:rPr>
          <w:rFonts w:ascii="Arial" w:hAnsi="Arial"/>
          <w:sz w:val="14"/>
        </w:rPr>
      </w:pPr>
      <w:r w:rsidRPr="001A0878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0507951</w:t>
      </w:r>
    </w:p>
    <w:p w:rsidR="00004EAF" w:rsidRDefault="00004EAF">
      <w:pPr>
        <w:jc w:val="both"/>
        <w:rPr>
          <w:rFonts w:ascii="Arial" w:hAnsi="Arial"/>
          <w:sz w:val="14"/>
          <w:u w:val="single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004EAF" w:rsidRPr="002A25DE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AERD je transfuzní přípravek, který slouží výhradně k hemoterapii pacienta, kterému byl odebrán.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AERD je koncentrát erytrocytů získaný oddělením erytrocytů od plazmy po centrifugaci in-line filtrované plné krve a jejich následnou resuspenzí.</w:t>
      </w: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004EAF" w:rsidRDefault="00004EAF" w:rsidP="002A25DE">
      <w:pPr>
        <w:pStyle w:val="Zkladntextodsazen"/>
        <w:numPr>
          <w:ilvl w:val="0"/>
          <w:numId w:val="41"/>
        </w:numPr>
        <w:tabs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náhrada krevních ztrát v průběhu nebo po plánovaných chirurgických výkonech.</w:t>
      </w:r>
    </w:p>
    <w:p w:rsidR="00004EAF" w:rsidRDefault="00004EAF">
      <w:pPr>
        <w:pStyle w:val="Zkladntextodsazen"/>
        <w:spacing w:after="0"/>
        <w:ind w:left="0"/>
        <w:jc w:val="both"/>
        <w:rPr>
          <w:rFonts w:ascii="Arial" w:hAnsi="Arial"/>
          <w:sz w:val="14"/>
          <w:u w:val="single"/>
        </w:rPr>
      </w:pPr>
    </w:p>
    <w:p w:rsidR="00004EAF" w:rsidRDefault="00004EAF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Kontraindikace:</w:t>
      </w:r>
    </w:p>
    <w:p w:rsidR="00004EAF" w:rsidRDefault="00004EAF">
      <w:pPr>
        <w:pStyle w:val="Seznamsodrkami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relativní hypervolémie,</w:t>
      </w:r>
    </w:p>
    <w:p w:rsidR="00004EAF" w:rsidRDefault="00004EAF">
      <w:pPr>
        <w:pStyle w:val="Seznamsodrkami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v případech, kde lze dosáhnout normalizace krevního obrazu jiným způsobem léčby.</w:t>
      </w:r>
    </w:p>
    <w:p w:rsidR="00004EAF" w:rsidRDefault="00004EAF">
      <w:pPr>
        <w:jc w:val="both"/>
        <w:rPr>
          <w:rFonts w:ascii="Arial" w:hAnsi="Arial"/>
          <w:sz w:val="14"/>
        </w:rPr>
      </w:pPr>
    </w:p>
    <w:p w:rsidR="00004EAF" w:rsidRDefault="00004EAF">
      <w:pPr>
        <w:jc w:val="both"/>
        <w:rPr>
          <w:rFonts w:ascii="Arial" w:hAnsi="Arial"/>
          <w:b/>
          <w:sz w:val="10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přetížení oběhu,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třesavka),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purpura.</w:t>
      </w:r>
    </w:p>
    <w:p w:rsidR="00004EAF" w:rsidRDefault="00004EAF">
      <w:pPr>
        <w:jc w:val="both"/>
        <w:rPr>
          <w:rFonts w:ascii="Arial" w:hAnsi="Arial"/>
          <w:sz w:val="14"/>
          <w:u w:val="single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004EAF" w:rsidRDefault="00004EAF">
      <w:pPr>
        <w:jc w:val="both"/>
        <w:rPr>
          <w:rFonts w:ascii="Arial" w:hAnsi="Arial"/>
          <w:sz w:val="14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AERD i AEBRD zlepšuje hematokrit u dospělého přibližně</w:t>
      </w:r>
      <w:r w:rsidR="00F65162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 xml:space="preserve">        o 0,2.</w:t>
      </w:r>
    </w:p>
    <w:p w:rsidR="00004EAF" w:rsidRDefault="00004EAF">
      <w:pPr>
        <w:pStyle w:val="Seznamsodrkami"/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 xml:space="preserve">Přípravek se podává intravenózně transfuzním setem s filtrem o velikosti pórů 170 </w:t>
      </w:r>
      <w:r>
        <w:rPr>
          <w:b w:val="0"/>
          <w:szCs w:val="14"/>
          <w:u w:val="none"/>
        </w:rPr>
        <w:sym w:font="Symbol" w:char="F06D"/>
      </w:r>
      <w:r>
        <w:rPr>
          <w:b w:val="0"/>
          <w:u w:val="none"/>
        </w:rPr>
        <w:t xml:space="preserve">m až 200 </w:t>
      </w:r>
      <w:r>
        <w:rPr>
          <w:b w:val="0"/>
          <w:szCs w:val="14"/>
          <w:u w:val="none"/>
        </w:rPr>
        <w:sym w:font="Symbol" w:char="F06D"/>
      </w:r>
      <w:r>
        <w:rPr>
          <w:b w:val="0"/>
          <w:u w:val="none"/>
        </w:rPr>
        <w:t xml:space="preserve">m. </w:t>
      </w:r>
    </w:p>
    <w:p w:rsidR="00004EAF" w:rsidRDefault="00004EAF">
      <w:pPr>
        <w:pStyle w:val="Seznamsodrkami"/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lastRenderedPageBreak/>
        <w:t>Kontrola vnějšího vzhledu přípravku se zaměřením na možnou hemolýzu, sraženiny a neporušenost obalu.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Kontrola dokumentace, čísla a typu transfuzního přípravku, doby použitelnosti, skupiny v AB0 a RhD systému.</w:t>
      </w:r>
    </w:p>
    <w:p w:rsidR="00F65162" w:rsidRDefault="00F65162" w:rsidP="00F65162">
      <w:pPr>
        <w:pStyle w:val="Seznamsodrkami"/>
        <w:rPr>
          <w:b w:val="0"/>
          <w:u w:val="none"/>
        </w:rPr>
      </w:pPr>
    </w:p>
    <w:p w:rsidR="00F65162" w:rsidRDefault="00F65162" w:rsidP="00F65162">
      <w:pPr>
        <w:pStyle w:val="Seznamsodrkami"/>
        <w:rPr>
          <w:b w:val="0"/>
          <w:u w:val="none"/>
        </w:rPr>
      </w:pP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 xml:space="preserve">Provést povinnou zajišťovací zkoušku. 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Před a po transfuzi zkontrolovat u pacienta TK,  puls, tělesnou teplotu.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Při začátku transfuze provést biologickou zkoušku dle klinické potřeby.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Po ukončení transfuze ponechat zbytek přípravku (nejméně 10 ml) ve vaku na dobu 24 hodin v chladničce.</w:t>
      </w:r>
    </w:p>
    <w:p w:rsidR="00004EAF" w:rsidRDefault="00004EAF">
      <w:pPr>
        <w:pStyle w:val="Seznamsodrkami"/>
        <w:rPr>
          <w:b w:val="0"/>
          <w:u w:val="none"/>
        </w:rPr>
      </w:pPr>
    </w:p>
    <w:p w:rsidR="00004EAF" w:rsidRDefault="00004EAF">
      <w:pPr>
        <w:pStyle w:val="Seznamsodrkami"/>
      </w:pPr>
      <w:r>
        <w:t>Upozornění:</w:t>
      </w:r>
    </w:p>
    <w:p w:rsidR="00004EAF" w:rsidRPr="00687438" w:rsidRDefault="00004EAF" w:rsidP="00687438">
      <w:pPr>
        <w:pStyle w:val="Seznamsodrkami"/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Před vydáním AERD se neprovádí test slučitelnosti, ale pouze kontrola shody krevní skupiny pacienta a transfuzního přípravku.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lze vrátit zpět na transfuzní oddělení (krevní banku) pouze výjimečně, a to po předchozí domluvě.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Pokud nebyl přípravek aplikován, musí být tato skutečnost písemně nahlášena transfuznímu oddělení (krevní bance) a zaznamenán údaj o naložení s ním.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sz w:val="16"/>
        </w:rPr>
        <w:t xml:space="preserve"> 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Hlásit je třeba nežádoucí reakce související s podáním transfuze, vzniklé během transfuze i po ní nebo podezření na ně. </w:t>
      </w:r>
    </w:p>
    <w:p w:rsidR="00004EAF" w:rsidRPr="001A0878" w:rsidRDefault="00004EAF" w:rsidP="001A087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 w:rsidRPr="001A0878">
        <w:rPr>
          <w:rFonts w:ascii="Arial" w:hAnsi="Arial"/>
          <w:sz w:val="14"/>
          <w:szCs w:val="14"/>
        </w:rPr>
        <w:t>Vyhláška o lidské krvi (č.</w:t>
      </w:r>
      <w:r>
        <w:rPr>
          <w:rFonts w:ascii="Arial" w:hAnsi="Arial"/>
          <w:sz w:val="14"/>
          <w:szCs w:val="14"/>
        </w:rPr>
        <w:t xml:space="preserve"> </w:t>
      </w:r>
      <w:r w:rsidRPr="001A0878">
        <w:rPr>
          <w:rFonts w:ascii="Arial" w:hAnsi="Arial"/>
          <w:sz w:val="14"/>
          <w:szCs w:val="14"/>
        </w:rPr>
        <w:t xml:space="preserve">143/2008 Sb., </w:t>
      </w:r>
      <w:r w:rsidRPr="001A0878">
        <w:rPr>
          <w:rFonts w:ascii="Arial" w:hAnsi="Arial" w:cs="Arial"/>
          <w:sz w:val="14"/>
          <w:szCs w:val="14"/>
        </w:rPr>
        <w:t>§</w:t>
      </w:r>
      <w:r w:rsidRPr="001A0878">
        <w:rPr>
          <w:rFonts w:ascii="Arial" w:hAnsi="Arial"/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1A0878">
          <w:rPr>
            <w:rFonts w:ascii="Arial" w:hAnsi="Arial"/>
            <w:sz w:val="14"/>
            <w:szCs w:val="14"/>
          </w:rPr>
          <w:t>1 a</w:t>
        </w:r>
      </w:smartTag>
      <w:r w:rsidRPr="001A0878">
        <w:rPr>
          <w:rFonts w:ascii="Arial" w:hAnsi="Arial"/>
          <w:sz w:val="14"/>
          <w:szCs w:val="14"/>
        </w:rPr>
        <w:t xml:space="preserve"> </w:t>
      </w:r>
      <w:r w:rsidRPr="001A0878"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z w:val="14"/>
          <w:szCs w:val="14"/>
        </w:rPr>
        <w:t xml:space="preserve"> </w:t>
      </w:r>
      <w:r w:rsidRPr="001A0878">
        <w:rPr>
          <w:rFonts w:ascii="Arial" w:hAnsi="Arial"/>
          <w:sz w:val="14"/>
          <w:szCs w:val="14"/>
        </w:rPr>
        <w:t>9) z důvodu zajištění hemovigilance (definice viz zákon o léčivech č.</w:t>
      </w:r>
      <w:r>
        <w:rPr>
          <w:rFonts w:ascii="Arial" w:hAnsi="Arial"/>
          <w:sz w:val="14"/>
          <w:szCs w:val="14"/>
        </w:rPr>
        <w:t xml:space="preserve"> </w:t>
      </w:r>
      <w:r w:rsidRPr="001A0878">
        <w:rPr>
          <w:rFonts w:ascii="Arial" w:hAnsi="Arial"/>
          <w:sz w:val="14"/>
          <w:szCs w:val="14"/>
        </w:rPr>
        <w:t xml:space="preserve">378/2007 Sb., </w:t>
      </w:r>
      <w:r w:rsidRPr="001A0878">
        <w:rPr>
          <w:rFonts w:ascii="Arial" w:hAnsi="Arial" w:cs="Arial"/>
          <w:sz w:val="14"/>
          <w:szCs w:val="14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sz w:val="14"/>
          <w:szCs w:val="14"/>
        </w:rPr>
        <w:t xml:space="preserve"> </w:t>
      </w:r>
      <w:r w:rsidRPr="001A0878">
        <w:rPr>
          <w:rFonts w:ascii="Arial" w:hAnsi="Arial" w:cs="Arial"/>
          <w:sz w:val="14"/>
          <w:szCs w:val="14"/>
        </w:rPr>
        <w:t>5 části A vyhlášky nebo na www.sukl.cz.</w:t>
      </w:r>
    </w:p>
    <w:p w:rsidR="00004EAF" w:rsidRDefault="00004EAF">
      <w:pPr>
        <w:pStyle w:val="Seznamsodrkami"/>
        <w:rPr>
          <w:b w:val="0"/>
          <w:u w:val="none"/>
        </w:rPr>
      </w:pPr>
    </w:p>
    <w:p w:rsidR="00004EAF" w:rsidRDefault="00004EAF">
      <w:pPr>
        <w:pStyle w:val="Seznamsodrkami"/>
      </w:pPr>
    </w:p>
    <w:p w:rsidR="00004EAF" w:rsidRDefault="00004EAF">
      <w:pPr>
        <w:pStyle w:val="Seznamsodrkami"/>
      </w:pPr>
      <w:r>
        <w:t>Uchovávání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004EAF" w:rsidRDefault="00004EAF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004EAF" w:rsidRDefault="00004EAF">
      <w:pPr>
        <w:jc w:val="both"/>
        <w:rPr>
          <w:rFonts w:ascii="Arial" w:hAnsi="Arial"/>
          <w:b/>
          <w:i/>
          <w:sz w:val="14"/>
        </w:rPr>
      </w:pP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004EAF" w:rsidRDefault="00004EA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004EAF" w:rsidRDefault="00004EAF">
      <w:pPr>
        <w:jc w:val="both"/>
        <w:rPr>
          <w:rFonts w:ascii="Arial" w:hAnsi="Arial"/>
          <w:b/>
          <w:i/>
          <w:sz w:val="14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151C3B" w:rsidRPr="00151C3B" w:rsidRDefault="00004EAF" w:rsidP="00151C3B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151C3B">
        <w:rPr>
          <w:rFonts w:ascii="Arial" w:hAnsi="Arial" w:cs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151C3B" w:rsidRPr="00151C3B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F65162">
        <w:rPr>
          <w:rFonts w:ascii="Arial" w:hAnsi="Arial" w:cs="Arial"/>
          <w:b w:val="0"/>
          <w:i w:val="0"/>
          <w:color w:val="auto"/>
          <w:sz w:val="14"/>
        </w:rPr>
        <w:t xml:space="preserve"> </w:t>
      </w:r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151C3B" w:rsidRPr="00151C3B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004EAF" w:rsidRDefault="00004EAF" w:rsidP="0028036E">
      <w:pPr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:rsidR="00004EAF" w:rsidRDefault="00004EA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004EAF" w:rsidRDefault="00F65162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004EAF">
        <w:rPr>
          <w:rFonts w:ascii="Arial" w:hAnsi="Arial"/>
          <w:sz w:val="14"/>
        </w:rPr>
        <w:t xml:space="preserve"> 201</w:t>
      </w:r>
      <w:r w:rsidR="00151C3B">
        <w:rPr>
          <w:rFonts w:ascii="Arial" w:hAnsi="Arial"/>
          <w:sz w:val="14"/>
        </w:rPr>
        <w:t>8</w:t>
      </w:r>
      <w:r w:rsidR="00004EAF">
        <w:rPr>
          <w:rFonts w:ascii="Arial" w:hAnsi="Arial"/>
          <w:sz w:val="14"/>
        </w:rPr>
        <w:t xml:space="preserve"> – verze č. 0</w:t>
      </w:r>
      <w:r w:rsidR="00151C3B">
        <w:rPr>
          <w:rFonts w:ascii="Arial" w:hAnsi="Arial"/>
          <w:sz w:val="14"/>
        </w:rPr>
        <w:t>4</w:t>
      </w:r>
    </w:p>
    <w:p w:rsidR="00004EAF" w:rsidRDefault="00004EAF">
      <w:pPr>
        <w:rPr>
          <w:rFonts w:ascii="Arial" w:hAnsi="Arial"/>
          <w:sz w:val="14"/>
        </w:rPr>
      </w:pPr>
    </w:p>
    <w:sectPr w:rsidR="00004EAF" w:rsidSect="001E318D">
      <w:footerReference w:type="default" r:id="rId8"/>
      <w:pgSz w:w="8392" w:h="11907" w:code="11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42" w:rsidRDefault="006C6C42">
      <w:r>
        <w:separator/>
      </w:r>
    </w:p>
  </w:endnote>
  <w:endnote w:type="continuationSeparator" w:id="0">
    <w:p w:rsidR="006C6C42" w:rsidRDefault="006C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AF" w:rsidRDefault="00DE13EC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004EAF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B2457C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004EAF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004EAF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B2457C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42" w:rsidRDefault="006C6C42">
      <w:r>
        <w:separator/>
      </w:r>
    </w:p>
  </w:footnote>
  <w:footnote w:type="continuationSeparator" w:id="0">
    <w:p w:rsidR="006C6C42" w:rsidRDefault="006C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64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136F"/>
    <w:multiLevelType w:val="singleLevel"/>
    <w:tmpl w:val="68BEC3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54142D"/>
    <w:multiLevelType w:val="multilevel"/>
    <w:tmpl w:val="E2B26A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6E8D"/>
    <w:multiLevelType w:val="multilevel"/>
    <w:tmpl w:val="D6120F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4417"/>
    <w:multiLevelType w:val="multilevel"/>
    <w:tmpl w:val="ADAAC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2A4A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F66F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E8E60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3F77EB1"/>
    <w:multiLevelType w:val="singleLevel"/>
    <w:tmpl w:val="49A838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51437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177307"/>
    <w:multiLevelType w:val="multilevel"/>
    <w:tmpl w:val="203AC0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1C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B440D92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1582F1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7418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4DF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6E6617"/>
    <w:multiLevelType w:val="multilevel"/>
    <w:tmpl w:val="94DAF9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6C06"/>
    <w:multiLevelType w:val="singleLevel"/>
    <w:tmpl w:val="DCE2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2A51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183040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C35C6A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A28E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6032F0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9C670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D76729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2092DFB"/>
    <w:multiLevelType w:val="singleLevel"/>
    <w:tmpl w:val="8D9E6974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2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52B68AE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D35540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9840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A9459A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8"/>
  </w:num>
  <w:num w:numId="13">
    <w:abstractNumId w:val="3"/>
  </w:num>
  <w:num w:numId="14">
    <w:abstractNumId w:val="17"/>
  </w:num>
  <w:num w:numId="15">
    <w:abstractNumId w:val="7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18"/>
  </w:num>
  <w:num w:numId="21">
    <w:abstractNumId w:val="24"/>
  </w:num>
  <w:num w:numId="22">
    <w:abstractNumId w:val="9"/>
  </w:num>
  <w:num w:numId="23">
    <w:abstractNumId w:val="23"/>
  </w:num>
  <w:num w:numId="24">
    <w:abstractNumId w:val="21"/>
  </w:num>
  <w:num w:numId="25">
    <w:abstractNumId w:val="33"/>
  </w:num>
  <w:num w:numId="26">
    <w:abstractNumId w:val="14"/>
  </w:num>
  <w:num w:numId="27">
    <w:abstractNumId w:val="29"/>
  </w:num>
  <w:num w:numId="28">
    <w:abstractNumId w:val="22"/>
  </w:num>
  <w:num w:numId="29">
    <w:abstractNumId w:val="8"/>
  </w:num>
  <w:num w:numId="30">
    <w:abstractNumId w:val="25"/>
  </w:num>
  <w:num w:numId="31">
    <w:abstractNumId w:val="6"/>
  </w:num>
  <w:num w:numId="32">
    <w:abstractNumId w:val="10"/>
  </w:num>
  <w:num w:numId="33">
    <w:abstractNumId w:val="2"/>
  </w:num>
  <w:num w:numId="34">
    <w:abstractNumId w:val="15"/>
  </w:num>
  <w:num w:numId="35">
    <w:abstractNumId w:val="11"/>
  </w:num>
  <w:num w:numId="36">
    <w:abstractNumId w:val="28"/>
  </w:num>
  <w:num w:numId="37">
    <w:abstractNumId w:val="19"/>
  </w:num>
  <w:num w:numId="38">
    <w:abstractNumId w:val="27"/>
  </w:num>
  <w:num w:numId="39">
    <w:abstractNumId w:val="35"/>
  </w:num>
  <w:num w:numId="40">
    <w:abstractNumId w:val="36"/>
  </w:num>
  <w:num w:numId="41">
    <w:abstractNumId w:val="31"/>
  </w:num>
  <w:num w:numId="42">
    <w:abstractNumId w:val="16"/>
  </w:num>
  <w:num w:numId="43">
    <w:abstractNumId w:val="26"/>
  </w:num>
  <w:num w:numId="44">
    <w:abstractNumId w:val="34"/>
  </w:num>
  <w:num w:numId="45">
    <w:abstractNumId w:val="12"/>
  </w:num>
  <w:num w:numId="46">
    <w:abstractNumId w:val="37"/>
  </w:num>
  <w:num w:numId="47">
    <w:abstractNumId w:val="32"/>
  </w:num>
  <w:num w:numId="48">
    <w:abstractNumId w:val="3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CBB"/>
    <w:rsid w:val="000005E0"/>
    <w:rsid w:val="000040A9"/>
    <w:rsid w:val="00004EAF"/>
    <w:rsid w:val="0001588F"/>
    <w:rsid w:val="00034D4C"/>
    <w:rsid w:val="00082F5F"/>
    <w:rsid w:val="000D4D49"/>
    <w:rsid w:val="000E0604"/>
    <w:rsid w:val="00140CBB"/>
    <w:rsid w:val="00151C3B"/>
    <w:rsid w:val="00183F70"/>
    <w:rsid w:val="001A0878"/>
    <w:rsid w:val="001A77B1"/>
    <w:rsid w:val="001E318D"/>
    <w:rsid w:val="002004E5"/>
    <w:rsid w:val="0028036E"/>
    <w:rsid w:val="002A25DE"/>
    <w:rsid w:val="00342EE4"/>
    <w:rsid w:val="00390DCD"/>
    <w:rsid w:val="003911FF"/>
    <w:rsid w:val="00392737"/>
    <w:rsid w:val="003B1807"/>
    <w:rsid w:val="003C5960"/>
    <w:rsid w:val="003F5900"/>
    <w:rsid w:val="004D6841"/>
    <w:rsid w:val="004F0815"/>
    <w:rsid w:val="005B2F5F"/>
    <w:rsid w:val="005F6EFA"/>
    <w:rsid w:val="00613F73"/>
    <w:rsid w:val="00653A32"/>
    <w:rsid w:val="00687438"/>
    <w:rsid w:val="00696C51"/>
    <w:rsid w:val="006C6C42"/>
    <w:rsid w:val="0072671F"/>
    <w:rsid w:val="00741FF5"/>
    <w:rsid w:val="00752BEC"/>
    <w:rsid w:val="0075782C"/>
    <w:rsid w:val="007A66C5"/>
    <w:rsid w:val="007B02BE"/>
    <w:rsid w:val="007B1A92"/>
    <w:rsid w:val="007C3CC0"/>
    <w:rsid w:val="008112C8"/>
    <w:rsid w:val="00830188"/>
    <w:rsid w:val="00846052"/>
    <w:rsid w:val="00897D51"/>
    <w:rsid w:val="00960F8E"/>
    <w:rsid w:val="009B05E5"/>
    <w:rsid w:val="009B76CA"/>
    <w:rsid w:val="00A66698"/>
    <w:rsid w:val="00A76457"/>
    <w:rsid w:val="00B2457C"/>
    <w:rsid w:val="00C56AB4"/>
    <w:rsid w:val="00CA4261"/>
    <w:rsid w:val="00D93BCA"/>
    <w:rsid w:val="00DE13EC"/>
    <w:rsid w:val="00E11A84"/>
    <w:rsid w:val="00E6330E"/>
    <w:rsid w:val="00E8254A"/>
    <w:rsid w:val="00ED67D5"/>
    <w:rsid w:val="00F1707B"/>
    <w:rsid w:val="00F65162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9C95B0-A47F-4AFE-86B7-7E19F5A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0A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40A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040A9"/>
    <w:pPr>
      <w:keepNext/>
      <w:jc w:val="both"/>
      <w:outlineLvl w:val="1"/>
    </w:pPr>
    <w:rPr>
      <w:b/>
      <w:cap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040A9"/>
    <w:pPr>
      <w:keepNext/>
      <w:jc w:val="both"/>
      <w:outlineLvl w:val="2"/>
    </w:pPr>
    <w:rPr>
      <w:rFonts w:ascii="Arial" w:hAnsi="Arial"/>
      <w:sz w:val="14"/>
      <w:u w:val="thick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51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0040A9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267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267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2671F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2671F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0040A9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671F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0040A9"/>
    <w:pPr>
      <w:jc w:val="both"/>
    </w:pPr>
    <w:rPr>
      <w:rFonts w:ascii="Arial" w:hAnsi="Arial"/>
      <w:b/>
      <w:sz w:val="14"/>
      <w:u w:val="single"/>
    </w:rPr>
  </w:style>
  <w:style w:type="paragraph" w:styleId="Zkladntext">
    <w:name w:val="Body Text"/>
    <w:basedOn w:val="Normln"/>
    <w:link w:val="ZkladntextChar"/>
    <w:uiPriority w:val="99"/>
    <w:rsid w:val="000040A9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2671F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0040A9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2671F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0040A9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2671F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0040A9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2671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040A9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2671F"/>
    <w:rPr>
      <w:rFonts w:cs="Times New Roman"/>
    </w:rPr>
  </w:style>
  <w:style w:type="paragraph" w:styleId="Zhlav">
    <w:name w:val="header"/>
    <w:basedOn w:val="Normln"/>
    <w:link w:val="ZhlavChar"/>
    <w:uiPriority w:val="99"/>
    <w:rsid w:val="00004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2671F"/>
    <w:rPr>
      <w:rFonts w:cs="Times New Roman"/>
    </w:rPr>
  </w:style>
  <w:style w:type="paragraph" w:styleId="Zpat">
    <w:name w:val="footer"/>
    <w:basedOn w:val="Normln"/>
    <w:link w:val="ZpatChar"/>
    <w:uiPriority w:val="99"/>
    <w:rsid w:val="00004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2671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040A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2671F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0040A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A25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671F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151C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4223</Characters>
  <Application>Microsoft Office Word</Application>
  <DocSecurity>0</DocSecurity>
  <Lines>35</Lines>
  <Paragraphs>9</Paragraphs>
  <ScaleCrop>false</ScaleCrop>
  <Company>FN Olomouc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Hrabálek Petr, Ing.</cp:lastModifiedBy>
  <cp:revision>5</cp:revision>
  <cp:lastPrinted>2020-04-16T09:35:00Z</cp:lastPrinted>
  <dcterms:created xsi:type="dcterms:W3CDTF">2018-07-23T09:54:00Z</dcterms:created>
  <dcterms:modified xsi:type="dcterms:W3CDTF">2020-04-16T09:36:00Z</dcterms:modified>
</cp:coreProperties>
</file>