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90" w:rsidRDefault="005C1B2E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inline distT="0" distB="0" distL="0" distR="0" wp14:anchorId="63A61FAA" wp14:editId="2E202152">
            <wp:extent cx="1711153" cy="438150"/>
            <wp:effectExtent l="0" t="0" r="0" b="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74" cy="44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B2E" w:rsidRDefault="005C1B2E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bookmarkStart w:id="0" w:name="_GoBack"/>
      <w:bookmarkEnd w:id="0"/>
    </w:p>
    <w:p w:rsidR="00E07B90" w:rsidRDefault="00E07B90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E07B90" w:rsidRDefault="00E07B90">
      <w:pPr>
        <w:jc w:val="both"/>
        <w:rPr>
          <w:b/>
          <w:sz w:val="16"/>
        </w:rPr>
      </w:pPr>
    </w:p>
    <w:p w:rsidR="00E07B90" w:rsidRDefault="00E07B90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8F6DF3">
        <w:rPr>
          <w:rFonts w:ascii="Arial Narrow" w:hAnsi="Arial Narrow"/>
          <w:spacing w:val="8"/>
          <w:sz w:val="16"/>
        </w:rPr>
        <w:t xml:space="preserve">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E07B90" w:rsidRDefault="00E07B90">
      <w:pPr>
        <w:pStyle w:val="Zkladntext"/>
        <w:jc w:val="both"/>
      </w:pPr>
      <w:r>
        <w:t xml:space="preserve">              </w:t>
      </w:r>
    </w:p>
    <w:p w:rsidR="00E07B90" w:rsidRDefault="00E07B90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AUTOLOGNÍ ODBĚR: PLAZMA</w:t>
      </w:r>
    </w:p>
    <w:p w:rsidR="00E07B90" w:rsidRDefault="00E07B90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                 </w:t>
      </w:r>
    </w:p>
    <w:p w:rsidR="00E07B90" w:rsidRDefault="00E07B90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 w:rsidRPr="00525C59">
        <w:rPr>
          <w:color w:val="auto"/>
          <w:sz w:val="18"/>
          <w:szCs w:val="18"/>
        </w:rPr>
        <w:t>A</w:t>
      </w:r>
      <w:r>
        <w:rPr>
          <w:color w:val="auto"/>
          <w:sz w:val="18"/>
        </w:rPr>
        <w:t xml:space="preserve">P </w:t>
      </w:r>
    </w:p>
    <w:p w:rsidR="00E07B90" w:rsidRDefault="00E07B90">
      <w:pPr>
        <w:jc w:val="both"/>
      </w:pP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 Olomouc – C 2059.</w:t>
      </w: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Default="00E07B90">
      <w:pPr>
        <w:jc w:val="both"/>
        <w:rPr>
          <w:sz w:val="22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E07B90" w:rsidRDefault="00E07B90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Normální plazmatické hladiny stabilních koagulačních faktorů, albuminu a imunoglobulinů. Obsahuje nejméně 70 % původního faktoru VIIIc a nejméně podobné množství dalších labilních koagulačních faktorů a přirozených inhibitorů.</w:t>
      </w:r>
    </w:p>
    <w:p w:rsidR="00E07B90" w:rsidRDefault="00E07B90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Antikoagulační roztok CPD.</w:t>
      </w:r>
    </w:p>
    <w:p w:rsidR="00E07B90" w:rsidRDefault="00E07B90">
      <w:pPr>
        <w:jc w:val="both"/>
        <w:rPr>
          <w:rFonts w:ascii="Arial" w:hAnsi="Arial"/>
          <w:sz w:val="14"/>
          <w:u w:val="single"/>
        </w:rPr>
      </w:pPr>
    </w:p>
    <w:p w:rsidR="00E07B90" w:rsidRDefault="00E07B90">
      <w:pPr>
        <w:jc w:val="both"/>
        <w:rPr>
          <w:rFonts w:ascii="Arial" w:hAnsi="Arial"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Pr="003702F1" w:rsidRDefault="00E07B90">
      <w:pPr>
        <w:jc w:val="both"/>
        <w:rPr>
          <w:rFonts w:ascii="Arial" w:hAnsi="Arial"/>
          <w:sz w:val="14"/>
        </w:rPr>
      </w:pPr>
      <w:r w:rsidRPr="003702F1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0507951</w:t>
      </w:r>
    </w:p>
    <w:p w:rsidR="00E07B90" w:rsidRDefault="00E07B90">
      <w:pPr>
        <w:pStyle w:val="Nadpis1"/>
        <w:rPr>
          <w:snapToGrid w:val="0"/>
        </w:rPr>
      </w:pPr>
    </w:p>
    <w:p w:rsidR="00E07B90" w:rsidRDefault="00E07B9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E07B90" w:rsidRDefault="00E07B90">
      <w:pPr>
        <w:pStyle w:val="Titulek"/>
        <w:jc w:val="both"/>
        <w:rPr>
          <w:rFonts w:ascii="Arial" w:hAnsi="Arial"/>
          <w:b w:val="0"/>
          <w:caps w:val="0"/>
          <w:color w:val="auto"/>
          <w:sz w:val="14"/>
        </w:rPr>
      </w:pPr>
      <w:r>
        <w:rPr>
          <w:rFonts w:ascii="Arial" w:hAnsi="Arial"/>
          <w:b w:val="0"/>
          <w:caps w:val="0"/>
          <w:color w:val="auto"/>
          <w:sz w:val="14"/>
        </w:rPr>
        <w:t>AP a přípravek, který slouží výhradně k hemoterapii pacienta, kterému byl odebrán.</w:t>
      </w:r>
    </w:p>
    <w:p w:rsidR="00E07B90" w:rsidRDefault="00E07B90">
      <w:pPr>
        <w:pStyle w:val="Titulek"/>
        <w:jc w:val="both"/>
        <w:rPr>
          <w:rFonts w:ascii="Arial" w:hAnsi="Arial"/>
          <w:b w:val="0"/>
          <w:caps w:val="0"/>
          <w:color w:val="auto"/>
          <w:sz w:val="14"/>
        </w:rPr>
      </w:pPr>
      <w:r>
        <w:rPr>
          <w:rFonts w:ascii="Arial" w:hAnsi="Arial"/>
          <w:b w:val="0"/>
          <w:caps w:val="0"/>
          <w:color w:val="auto"/>
          <w:sz w:val="14"/>
        </w:rPr>
        <w:t>Plazma je transfuzní přípravek získaný z plné krve centrifugací, oddělením plazmy od erytrocytů a následně zmrazený během jedné hodiny</w:t>
      </w:r>
      <w:r w:rsidRPr="005A5675">
        <w:rPr>
          <w:rFonts w:ascii="Arial" w:hAnsi="Arial"/>
          <w:b w:val="0"/>
          <w:caps w:val="0"/>
          <w:color w:val="auto"/>
          <w:sz w:val="14"/>
        </w:rPr>
        <w:t xml:space="preserve"> na </w:t>
      </w:r>
      <w:smartTag w:uri="urn:schemas-microsoft-com:office:smarttags" w:element="metricconverter">
        <w:smartTagPr>
          <w:attr w:name="ProductID" w:val="-30 ﾰC"/>
        </w:smartTagPr>
        <w:r w:rsidRPr="005A5675">
          <w:rPr>
            <w:rFonts w:ascii="Arial" w:hAnsi="Arial"/>
            <w:b w:val="0"/>
            <w:caps w:val="0"/>
            <w:color w:val="auto"/>
            <w:sz w:val="14"/>
          </w:rPr>
          <w:t>-30</w:t>
        </w:r>
        <w:r>
          <w:rPr>
            <w:rFonts w:ascii="Arial" w:hAnsi="Arial"/>
            <w:b w:val="0"/>
            <w:caps w:val="0"/>
            <w:color w:val="auto"/>
            <w:sz w:val="14"/>
          </w:rPr>
          <w:t xml:space="preserve"> </w:t>
        </w:r>
        <w:r w:rsidRPr="005A5675">
          <w:rPr>
            <w:rFonts w:ascii="Arial" w:hAnsi="Arial"/>
            <w:b w:val="0"/>
            <w:caps w:val="0"/>
            <w:color w:val="auto"/>
            <w:sz w:val="14"/>
          </w:rPr>
          <w:t>°C</w:t>
        </w:r>
      </w:smartTag>
      <w:r w:rsidRPr="005A5675">
        <w:rPr>
          <w:rFonts w:ascii="Arial" w:hAnsi="Arial"/>
          <w:b w:val="0"/>
          <w:caps w:val="0"/>
          <w:color w:val="auto"/>
          <w:sz w:val="14"/>
        </w:rPr>
        <w:t>,</w:t>
      </w:r>
      <w:r>
        <w:rPr>
          <w:rFonts w:ascii="Arial" w:hAnsi="Arial"/>
          <w:b w:val="0"/>
          <w:caps w:val="0"/>
          <w:color w:val="auto"/>
          <w:sz w:val="14"/>
        </w:rPr>
        <w:t xml:space="preserve"> aby zůstaly zachovány labilní koagulační faktory ve funkčním stavu. </w:t>
      </w:r>
    </w:p>
    <w:p w:rsidR="00E07B90" w:rsidRDefault="00E07B90">
      <w:pPr>
        <w:jc w:val="both"/>
        <w:rPr>
          <w:rFonts w:ascii="Arial" w:hAnsi="Arial"/>
          <w:b/>
          <w:sz w:val="14"/>
          <w:u w:val="single"/>
        </w:rPr>
      </w:pPr>
    </w:p>
    <w:p w:rsidR="00E07B90" w:rsidRDefault="00E07B90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</w:p>
    <w:p w:rsidR="00E07B90" w:rsidRDefault="00E07B90">
      <w:pPr>
        <w:tabs>
          <w:tab w:val="left" w:pos="284"/>
          <w:tab w:val="left" w:pos="709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T.U.: 200 ml – 320 ml</w:t>
      </w: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E07B90" w:rsidRDefault="00E07B90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Náhrada objemových krevních ztrát v průběhu nebo po plánovaných chirurgických výkonech.</w:t>
      </w: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Default="00E07B90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E07B90" w:rsidRDefault="00E07B90">
      <w:pPr>
        <w:pStyle w:val="Zkladntextodsazen2"/>
        <w:numPr>
          <w:ilvl w:val="0"/>
          <w:numId w:val="28"/>
        </w:numPr>
        <w:tabs>
          <w:tab w:val="clear" w:pos="284"/>
          <w:tab w:val="clear" w:pos="720"/>
          <w:tab w:val="num" w:pos="360"/>
        </w:tabs>
        <w:ind w:left="360"/>
        <w:jc w:val="both"/>
      </w:pPr>
      <w:r>
        <w:t>relativní hypervolémie.</w:t>
      </w:r>
    </w:p>
    <w:p w:rsidR="00E07B90" w:rsidRDefault="00E07B90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E07B90" w:rsidRDefault="00E07B90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citrátová intoxikace při rychlé transfuzi velkých objemů,</w:t>
      </w:r>
    </w:p>
    <w:p w:rsidR="00E07B90" w:rsidRDefault="00E07B90" w:rsidP="00DE479A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nehemolytické potransfuzní reakce (hlavně zimnice, horečka a kopřivka),</w:t>
      </w:r>
    </w:p>
    <w:p w:rsidR="00E07B90" w:rsidRDefault="00E07B90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E07B90" w:rsidRDefault="00E07B90">
      <w:pPr>
        <w:jc w:val="center"/>
        <w:rPr>
          <w:rFonts w:ascii="Arial" w:hAnsi="Arial"/>
          <w:b/>
          <w:sz w:val="14"/>
          <w:u w:val="single"/>
        </w:rPr>
      </w:pPr>
    </w:p>
    <w:p w:rsidR="00E07B90" w:rsidRDefault="00E07B90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Default="00E07B9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Dávkování  určuje  lékař. Doporučená úvodní dávka plazmy je 10 ml – 20 ml na kg tělesné hmotnosti příjemce.</w:t>
      </w:r>
    </w:p>
    <w:p w:rsidR="00E07B90" w:rsidRDefault="00E07B90" w:rsidP="00DE479A">
      <w:pPr>
        <w:jc w:val="both"/>
        <w:rPr>
          <w:rFonts w:ascii="Arial" w:hAnsi="Arial"/>
          <w:sz w:val="14"/>
        </w:rPr>
      </w:pP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Rozmrazení se provádí ve vodní lázni +</w:t>
      </w:r>
      <w:smartTag w:uri="urn:schemas-microsoft-com:office:smarttags" w:element="metricconverter">
        <w:smartTagPr>
          <w:attr w:name="ProductID" w:val="37 ﾰC"/>
        </w:smartTagPr>
        <w:r>
          <w:rPr>
            <w:rFonts w:ascii="Arial" w:hAnsi="Arial"/>
            <w:sz w:val="14"/>
          </w:rPr>
          <w:t>37 °C</w:t>
        </w:r>
      </w:smartTag>
      <w:r>
        <w:rPr>
          <w:rFonts w:ascii="Arial" w:hAnsi="Arial"/>
          <w:sz w:val="14"/>
        </w:rPr>
        <w:t xml:space="preserve"> nebo v rozmrazovači za šetrného promíchávání.</w:t>
      </w: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podává bezprostředně po rozmrazení. </w:t>
      </w: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Plazma musí být spotřebována do 4 hodin od rozmrazení.</w:t>
      </w: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nesmí znovu zmrazit ani uchovávat v tekutém stavu.</w:t>
      </w:r>
    </w:p>
    <w:p w:rsidR="00E07B90" w:rsidRDefault="00E07B90" w:rsidP="007457F3">
      <w:pPr>
        <w:jc w:val="both"/>
        <w:rPr>
          <w:rFonts w:ascii="Arial" w:hAnsi="Arial"/>
          <w:sz w:val="14"/>
        </w:rPr>
      </w:pPr>
    </w:p>
    <w:p w:rsidR="00E07B90" w:rsidRDefault="00E07B90" w:rsidP="007457F3">
      <w:pPr>
        <w:jc w:val="both"/>
        <w:rPr>
          <w:rFonts w:ascii="Arial" w:hAnsi="Arial"/>
          <w:sz w:val="14"/>
        </w:rPr>
      </w:pP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podává intravenózně  transfuzním setem s filtrem o velikosti 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 </w:t>
      </w: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Před aplikací se musí zkontrolovat neporušenost obalu, barva plazmy.</w:t>
      </w: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 rozmrazení by neměl být viditelný žádný nerozpuštěný kryoprotein.</w:t>
      </w: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Default="00E07B90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E07B90" w:rsidRPr="004D383F" w:rsidRDefault="00E07B90" w:rsidP="004D383F">
      <w:pPr>
        <w:pStyle w:val="Zkladntextodsazen"/>
        <w:numPr>
          <w:ilvl w:val="0"/>
          <w:numId w:val="36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Před vydáním AP se provádí  kontrola shody krevní skupiny pacienta a transfuzního přípravku.</w:t>
      </w:r>
    </w:p>
    <w:p w:rsidR="00E07B90" w:rsidRPr="00F23476" w:rsidRDefault="00E07B90" w:rsidP="00F23476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O </w:t>
      </w:r>
      <w:r w:rsidRPr="00F23476">
        <w:rPr>
          <w:rFonts w:ascii="Arial" w:hAnsi="Arial"/>
          <w:color w:val="auto"/>
          <w:sz w:val="14"/>
          <w:lang w:val="cs-CZ"/>
        </w:rPr>
        <w:t>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zi musí být proveden záznam ve zdravotnické dokumentaci pacienta, který musí obsahovat kompletní identifikaci příjemce (jméno, rodné číslo) a kompletní identifikaci přípravku.</w:t>
      </w:r>
    </w:p>
    <w:p w:rsidR="00E07B90" w:rsidRPr="00F23476" w:rsidRDefault="00E07B90" w:rsidP="00F23476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F23476">
        <w:rPr>
          <w:rFonts w:ascii="Arial" w:hAnsi="Arial"/>
          <w:color w:val="auto"/>
          <w:sz w:val="14"/>
          <w:lang w:val="cs-CZ"/>
        </w:rPr>
        <w:t xml:space="preserve">Přípravek </w:t>
      </w:r>
      <w:r>
        <w:rPr>
          <w:rFonts w:ascii="Arial" w:hAnsi="Arial"/>
          <w:color w:val="auto"/>
          <w:sz w:val="14"/>
          <w:lang w:val="cs-CZ"/>
        </w:rPr>
        <w:t>ne</w:t>
      </w:r>
      <w:r w:rsidRPr="00F23476">
        <w:rPr>
          <w:rFonts w:ascii="Arial" w:hAnsi="Arial"/>
          <w:color w:val="auto"/>
          <w:sz w:val="14"/>
          <w:lang w:val="cs-CZ"/>
        </w:rPr>
        <w:t>lze vrátit zpět na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zní oddělení (krevní banku)</w:t>
      </w:r>
      <w:r>
        <w:rPr>
          <w:rFonts w:ascii="Arial" w:hAnsi="Arial"/>
          <w:color w:val="auto"/>
          <w:sz w:val="14"/>
          <w:lang w:val="cs-CZ"/>
        </w:rPr>
        <w:t>.</w:t>
      </w:r>
    </w:p>
    <w:p w:rsidR="00E07B90" w:rsidRPr="00F23476" w:rsidRDefault="00E07B90" w:rsidP="00F23476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F23476"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znímu oddělení (krevní bance) a zaznamenán údaj o naložení s ním.</w:t>
      </w:r>
    </w:p>
    <w:p w:rsidR="00E07B90" w:rsidRPr="00F23476" w:rsidRDefault="00E07B90" w:rsidP="00F23476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F23476">
        <w:rPr>
          <w:rFonts w:ascii="Arial" w:hAnsi="Arial"/>
          <w:color w:val="auto"/>
          <w:sz w:val="14"/>
          <w:lang w:val="cs-CZ"/>
        </w:rPr>
        <w:t>Při výskytu jakékoliv nežádoucí reakce během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ze je třeba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zi OKAMŽITĚ PŘERUŠIT. Lékař vyplní formulář “Zpráva o nežádoucím účinku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ze” a zajistí, aby se k formuláři přidal zbytek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zního přípravku s 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zním setem a vzorkem krve pacienta odebraným po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zi (10 ml srážlivé krve) a odeslal zpět na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zní oddělení (krevní banku) za účelem imunologického vyšetření příčiny reakce. Zpráva musí obsahovat kompletní identifikaci přípravku a podrobný popis symptomů a klinických známek reakce.</w:t>
      </w:r>
      <w:r w:rsidRPr="00F23476">
        <w:rPr>
          <w:rFonts w:ascii="Arial" w:hAnsi="Arial"/>
          <w:color w:val="auto"/>
          <w:sz w:val="16"/>
          <w:lang w:val="cs-CZ"/>
        </w:rPr>
        <w:t xml:space="preserve"> </w:t>
      </w:r>
    </w:p>
    <w:p w:rsidR="00E07B90" w:rsidRDefault="00E07B90" w:rsidP="00F23476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F23476"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</w:t>
      </w:r>
      <w:r>
        <w:rPr>
          <w:rFonts w:ascii="Arial" w:hAnsi="Arial"/>
          <w:color w:val="auto"/>
          <w:sz w:val="14"/>
          <w:szCs w:val="14"/>
          <w:lang w:val="cs-CZ"/>
        </w:rPr>
        <w:t>u</w:t>
      </w:r>
      <w:r w:rsidRPr="00F23476">
        <w:rPr>
          <w:rFonts w:ascii="Arial" w:hAnsi="Arial"/>
          <w:color w:val="auto"/>
          <w:sz w:val="14"/>
          <w:szCs w:val="14"/>
          <w:lang w:val="cs-CZ"/>
        </w:rPr>
        <w:t>ze, vzniklé během transf</w:t>
      </w:r>
      <w:r>
        <w:rPr>
          <w:rFonts w:ascii="Arial" w:hAnsi="Arial"/>
          <w:color w:val="auto"/>
          <w:sz w:val="14"/>
          <w:szCs w:val="14"/>
          <w:lang w:val="cs-CZ"/>
        </w:rPr>
        <w:t>u</w:t>
      </w:r>
      <w:r w:rsidRPr="00F23476">
        <w:rPr>
          <w:rFonts w:ascii="Arial" w:hAnsi="Arial"/>
          <w:color w:val="auto"/>
          <w:sz w:val="14"/>
          <w:szCs w:val="14"/>
          <w:lang w:val="cs-CZ"/>
        </w:rPr>
        <w:t>ze i po ní nebo podezření na ně.</w:t>
      </w:r>
    </w:p>
    <w:p w:rsidR="00E07B90" w:rsidRPr="003702F1" w:rsidRDefault="00E07B90" w:rsidP="003702F1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3702F1">
        <w:rPr>
          <w:rFonts w:ascii="Arial" w:hAnsi="Arial"/>
          <w:color w:val="auto"/>
          <w:sz w:val="14"/>
          <w:szCs w:val="14"/>
          <w:lang w:val="cs-CZ"/>
        </w:rPr>
        <w:t xml:space="preserve">Vyhláška o lidské krvi (č.143/2008 Sb., </w:t>
      </w:r>
      <w:r w:rsidRPr="003702F1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3702F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3702F1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3702F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3702F1">
        <w:rPr>
          <w:rFonts w:ascii="Arial" w:hAnsi="Arial"/>
          <w:color w:val="auto"/>
          <w:sz w:val="14"/>
          <w:szCs w:val="14"/>
          <w:lang w:val="cs-CZ"/>
        </w:rPr>
        <w:t>9) z důvodu zajištění hemovigilance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3702F1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3702F1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jedná </w:t>
      </w:r>
      <w:r w:rsidR="008F6DF3">
        <w:rPr>
          <w:rFonts w:ascii="Arial" w:hAnsi="Arial" w:cs="Arial"/>
          <w:color w:val="auto"/>
          <w:sz w:val="14"/>
          <w:szCs w:val="14"/>
          <w:lang w:val="cs-CZ"/>
        </w:rPr>
        <w:t xml:space="preserve">      </w:t>
      </w:r>
      <w:r w:rsidRPr="003702F1">
        <w:rPr>
          <w:rFonts w:ascii="Arial" w:hAnsi="Arial" w:cs="Arial"/>
          <w:color w:val="auto"/>
          <w:sz w:val="14"/>
          <w:szCs w:val="14"/>
          <w:lang w:val="cs-CZ"/>
        </w:rPr>
        <w:t>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3702F1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E07B90" w:rsidRDefault="00E07B90" w:rsidP="00F23476">
      <w:pPr>
        <w:pStyle w:val="Seznamsodrkami"/>
        <w:numPr>
          <w:ilvl w:val="0"/>
          <w:numId w:val="0"/>
        </w:numPr>
        <w:rPr>
          <w:sz w:val="16"/>
        </w:rPr>
      </w:pPr>
    </w:p>
    <w:p w:rsidR="00E07B90" w:rsidRDefault="00E07B90">
      <w:pPr>
        <w:pStyle w:val="Seznamsodrkami"/>
        <w:numPr>
          <w:ilvl w:val="0"/>
          <w:numId w:val="0"/>
        </w:numPr>
      </w:pPr>
    </w:p>
    <w:p w:rsidR="00E07B90" w:rsidRDefault="00E07B9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E07B90" w:rsidRPr="00F577CF" w:rsidRDefault="00E07B90" w:rsidP="00190813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Přípravek se uchovává v mraznici při kontrolované teplotě –18 </w:t>
      </w:r>
      <w:r>
        <w:rPr>
          <w:rFonts w:ascii="Arial" w:hAnsi="Arial"/>
          <w:color w:val="auto"/>
          <w:sz w:val="14"/>
          <w:szCs w:val="14"/>
        </w:rPr>
        <w:sym w:font="Symbol" w:char="F0B0"/>
      </w:r>
      <w:r>
        <w:rPr>
          <w:rFonts w:ascii="Arial" w:hAnsi="Arial"/>
          <w:color w:val="auto"/>
          <w:sz w:val="14"/>
          <w:lang w:val="cs-CZ"/>
        </w:rPr>
        <w:t>C nebo nižší.</w:t>
      </w:r>
    </w:p>
    <w:p w:rsidR="00E07B90" w:rsidRDefault="00E07B90" w:rsidP="00190813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3 měsíce od odběru a je uvedena na štítku transfuzního přípravku.</w:t>
      </w:r>
    </w:p>
    <w:p w:rsidR="00E07B90" w:rsidRDefault="00E07B90">
      <w:pPr>
        <w:jc w:val="both"/>
        <w:rPr>
          <w:rFonts w:ascii="Arial" w:hAnsi="Arial"/>
          <w:b/>
          <w:i/>
          <w:sz w:val="14"/>
        </w:rPr>
      </w:pP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E07B90" w:rsidRPr="005A5675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1 T.U. obsahuje plazmu pro klinické použití </w:t>
      </w:r>
      <w:r w:rsidRPr="005A5675">
        <w:rPr>
          <w:rFonts w:ascii="Arial" w:hAnsi="Arial"/>
          <w:sz w:val="14"/>
        </w:rPr>
        <w:t>vyrobenou z odběru plné krve</w:t>
      </w:r>
      <w:r>
        <w:rPr>
          <w:rFonts w:ascii="Arial" w:hAnsi="Arial"/>
          <w:sz w:val="14"/>
        </w:rPr>
        <w:t>.</w:t>
      </w:r>
      <w:r w:rsidRPr="005A5675">
        <w:rPr>
          <w:rFonts w:ascii="Arial" w:hAnsi="Arial"/>
          <w:sz w:val="14"/>
        </w:rPr>
        <w:t xml:space="preserve"> </w:t>
      </w:r>
    </w:p>
    <w:p w:rsidR="00E07B90" w:rsidRDefault="00E07B90">
      <w:pPr>
        <w:jc w:val="both"/>
        <w:rPr>
          <w:rFonts w:ascii="Arial" w:hAnsi="Arial"/>
          <w:b/>
          <w:i/>
          <w:sz w:val="14"/>
        </w:rPr>
      </w:pPr>
    </w:p>
    <w:p w:rsidR="00E07B90" w:rsidRDefault="00E07B9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714510" w:rsidRPr="00EB3CEB" w:rsidRDefault="00714510" w:rsidP="00714510">
      <w:pPr>
        <w:tabs>
          <w:tab w:val="left" w:pos="284"/>
        </w:tabs>
        <w:jc w:val="both"/>
        <w:rPr>
          <w:rFonts w:ascii="Arial" w:hAnsi="Arial"/>
          <w:sz w:val="14"/>
        </w:rPr>
      </w:pPr>
      <w:r w:rsidRPr="00EB3CEB">
        <w:rPr>
          <w:rFonts w:ascii="Arial" w:hAnsi="Arial" w:cs="Arial"/>
          <w:sz w:val="14"/>
          <w:szCs w:val="22"/>
        </w:rPr>
        <w:t>Teplota přepravy plazmy je shodná jako teplota skladování &lt;-</w:t>
      </w:r>
      <w:smartTag w:uri="urn:schemas-microsoft-com:office:smarttags" w:element="metricconverter">
        <w:smartTagPr>
          <w:attr w:name="ProductID" w:val="25 °C"/>
        </w:smartTagPr>
        <w:r w:rsidRPr="00EB3CEB">
          <w:rPr>
            <w:rFonts w:ascii="Arial" w:hAnsi="Arial" w:cs="Arial"/>
            <w:sz w:val="14"/>
            <w:szCs w:val="22"/>
          </w:rPr>
          <w:t>25 °C</w:t>
        </w:r>
      </w:smartTag>
      <w:r w:rsidRPr="00EB3CEB">
        <w:rPr>
          <w:rFonts w:ascii="Arial" w:hAnsi="Arial" w:cs="Arial"/>
          <w:sz w:val="14"/>
          <w:szCs w:val="22"/>
        </w:rPr>
        <w:t xml:space="preserve">. V případě doby transportu do 6 hodin lze akceptovat teplotu nad </w:t>
      </w:r>
      <w:smartTag w:uri="urn:schemas-microsoft-com:office:smarttags" w:element="metricconverter">
        <w:smartTagPr>
          <w:attr w:name="ProductID" w:val="-25 °C"/>
        </w:smartTagPr>
        <w:r w:rsidRPr="00EB3CEB">
          <w:rPr>
            <w:rFonts w:ascii="Arial" w:hAnsi="Arial" w:cs="Arial"/>
            <w:sz w:val="14"/>
            <w:szCs w:val="22"/>
          </w:rPr>
          <w:t>-25 °C</w:t>
        </w:r>
      </w:smartTag>
      <w:r>
        <w:rPr>
          <w:rFonts w:ascii="Arial" w:hAnsi="Arial" w:cs="Arial"/>
          <w:sz w:val="14"/>
          <w:szCs w:val="22"/>
        </w:rPr>
        <w:t>,</w:t>
      </w:r>
      <w:r w:rsidRPr="00EB3CEB">
        <w:rPr>
          <w:rFonts w:ascii="Arial" w:hAnsi="Arial" w:cs="Arial"/>
          <w:sz w:val="14"/>
          <w:szCs w:val="22"/>
        </w:rPr>
        <w:t xml:space="preserve"> maximálně však do </w:t>
      </w:r>
      <w:smartTag w:uri="urn:schemas-microsoft-com:office:smarttags" w:element="metricconverter">
        <w:smartTagPr>
          <w:attr w:name="ProductID" w:val="-18 °C"/>
        </w:smartTagPr>
        <w:r w:rsidRPr="00EB3CEB">
          <w:rPr>
            <w:rFonts w:ascii="Arial" w:hAnsi="Arial" w:cs="Arial"/>
            <w:sz w:val="14"/>
            <w:szCs w:val="22"/>
          </w:rPr>
          <w:t>-18 °C</w:t>
        </w:r>
      </w:smartTag>
      <w:r w:rsidRPr="00EB3CEB">
        <w:rPr>
          <w:rFonts w:ascii="Arial" w:hAnsi="Arial" w:cs="Arial"/>
          <w:sz w:val="14"/>
          <w:szCs w:val="22"/>
        </w:rPr>
        <w:t>.</w:t>
      </w: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Na konci doby transportu nesmí plazma jevit známky potátí. Odběratel, který plazmu přijímá, má ověřit, </w:t>
      </w:r>
      <w:r w:rsidR="008F6DF3">
        <w:rPr>
          <w:rFonts w:ascii="Arial" w:hAnsi="Arial"/>
          <w:sz w:val="14"/>
        </w:rPr>
        <w:t xml:space="preserve">      </w:t>
      </w:r>
      <w:r>
        <w:rPr>
          <w:rFonts w:ascii="Arial" w:hAnsi="Arial"/>
          <w:sz w:val="14"/>
        </w:rPr>
        <w:t xml:space="preserve">že vaky zůstaly při přepravě stále zmražené a neporušené. </w:t>
      </w: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E07B90" w:rsidRDefault="008F6DF3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Srpen</w:t>
      </w:r>
      <w:r w:rsidR="00E07B90">
        <w:rPr>
          <w:rFonts w:ascii="Arial" w:hAnsi="Arial"/>
          <w:sz w:val="14"/>
        </w:rPr>
        <w:t xml:space="preserve"> 201</w:t>
      </w:r>
      <w:r w:rsidR="00714510">
        <w:rPr>
          <w:rFonts w:ascii="Arial" w:hAnsi="Arial"/>
          <w:sz w:val="14"/>
        </w:rPr>
        <w:t>8 – verze č. 04</w:t>
      </w:r>
    </w:p>
    <w:p w:rsidR="00E07B90" w:rsidRDefault="00E07B90">
      <w:pPr>
        <w:pStyle w:val="Nzev"/>
        <w:jc w:val="left"/>
        <w:rPr>
          <w:rFonts w:ascii="Arial" w:hAnsi="Arial"/>
          <w:i/>
          <w:sz w:val="16"/>
        </w:rPr>
      </w:pPr>
    </w:p>
    <w:sectPr w:rsidR="00E07B90" w:rsidSect="00ED65C5">
      <w:footerReference w:type="default" r:id="rId8"/>
      <w:pgSz w:w="8392" w:h="11907" w:code="11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83" w:rsidRDefault="00B23C83">
      <w:r>
        <w:separator/>
      </w:r>
    </w:p>
  </w:endnote>
  <w:endnote w:type="continuationSeparator" w:id="0">
    <w:p w:rsidR="00B23C83" w:rsidRDefault="00B2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90" w:rsidRDefault="00E5035F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E07B90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5C1B2E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 w:rsidR="00E07B90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E07B90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5C1B2E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83" w:rsidRDefault="00B23C83">
      <w:r>
        <w:separator/>
      </w:r>
    </w:p>
  </w:footnote>
  <w:footnote w:type="continuationSeparator" w:id="0">
    <w:p w:rsidR="00B23C83" w:rsidRDefault="00B2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4403A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C2BAE"/>
    <w:multiLevelType w:val="multilevel"/>
    <w:tmpl w:val="D4AE95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1050"/>
        </w:tabs>
        <w:ind w:left="-10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30"/>
        </w:tabs>
        <w:ind w:left="-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</w:abstractNum>
  <w:abstractNum w:abstractNumId="2" w15:restartNumberingAfterBreak="0">
    <w:nsid w:val="01833A54"/>
    <w:multiLevelType w:val="multilevel"/>
    <w:tmpl w:val="BEA8D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8710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5538"/>
    <w:multiLevelType w:val="multilevel"/>
    <w:tmpl w:val="49BE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8161B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453E3E"/>
    <w:multiLevelType w:val="singleLevel"/>
    <w:tmpl w:val="5600A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AE12647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847FCA"/>
    <w:multiLevelType w:val="multilevel"/>
    <w:tmpl w:val="6130E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A52F8"/>
    <w:multiLevelType w:val="multilevel"/>
    <w:tmpl w:val="889EA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61E1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E3D5AB0"/>
    <w:multiLevelType w:val="multilevel"/>
    <w:tmpl w:val="BBECE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07E3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9737DC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C3B288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8004E5B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05E4FDD"/>
    <w:multiLevelType w:val="multilevel"/>
    <w:tmpl w:val="19067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C23B2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B2076A"/>
    <w:multiLevelType w:val="multilevel"/>
    <w:tmpl w:val="29646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E5A39"/>
    <w:multiLevelType w:val="singleLevel"/>
    <w:tmpl w:val="5600A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E5F498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7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12"/>
  </w:num>
  <w:num w:numId="15">
    <w:abstractNumId w:val="24"/>
  </w:num>
  <w:num w:numId="16">
    <w:abstractNumId w:val="2"/>
  </w:num>
  <w:num w:numId="17">
    <w:abstractNumId w:val="16"/>
  </w:num>
  <w:num w:numId="18">
    <w:abstractNumId w:val="10"/>
  </w:num>
  <w:num w:numId="19">
    <w:abstractNumId w:val="20"/>
  </w:num>
  <w:num w:numId="20">
    <w:abstractNumId w:val="22"/>
  </w:num>
  <w:num w:numId="21">
    <w:abstractNumId w:val="18"/>
  </w:num>
  <w:num w:numId="22">
    <w:abstractNumId w:val="26"/>
  </w:num>
  <w:num w:numId="23">
    <w:abstractNumId w:val="23"/>
  </w:num>
  <w:num w:numId="24">
    <w:abstractNumId w:val="25"/>
  </w:num>
  <w:num w:numId="25">
    <w:abstractNumId w:val="11"/>
  </w:num>
  <w:num w:numId="26">
    <w:abstractNumId w:val="8"/>
  </w:num>
  <w:num w:numId="27">
    <w:abstractNumId w:val="21"/>
  </w:num>
  <w:num w:numId="28">
    <w:abstractNumId w:val="17"/>
  </w:num>
  <w:num w:numId="29">
    <w:abstractNumId w:val="28"/>
  </w:num>
  <w:num w:numId="30">
    <w:abstractNumId w:val="15"/>
  </w:num>
  <w:num w:numId="31">
    <w:abstractNumId w:val="1"/>
  </w:num>
  <w:num w:numId="32">
    <w:abstractNumId w:val="29"/>
  </w:num>
  <w:num w:numId="33">
    <w:abstractNumId w:val="9"/>
  </w:num>
  <w:num w:numId="34">
    <w:abstractNumId w:val="4"/>
  </w:num>
  <w:num w:numId="35">
    <w:abstractNumId w:val="19"/>
  </w:num>
  <w:num w:numId="36">
    <w:abstractNumId w:val="2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79A"/>
    <w:rsid w:val="000027E8"/>
    <w:rsid w:val="00011CBC"/>
    <w:rsid w:val="00033FC2"/>
    <w:rsid w:val="001137C2"/>
    <w:rsid w:val="00131224"/>
    <w:rsid w:val="00190813"/>
    <w:rsid w:val="001B7F18"/>
    <w:rsid w:val="001D427A"/>
    <w:rsid w:val="001E48D7"/>
    <w:rsid w:val="00234937"/>
    <w:rsid w:val="002A4A6F"/>
    <w:rsid w:val="002D67A4"/>
    <w:rsid w:val="003702F1"/>
    <w:rsid w:val="004155B0"/>
    <w:rsid w:val="004279EE"/>
    <w:rsid w:val="0044066D"/>
    <w:rsid w:val="004424A4"/>
    <w:rsid w:val="004D383F"/>
    <w:rsid w:val="00525C59"/>
    <w:rsid w:val="005A29DE"/>
    <w:rsid w:val="005A5675"/>
    <w:rsid w:val="005C1B2E"/>
    <w:rsid w:val="00627770"/>
    <w:rsid w:val="006F0252"/>
    <w:rsid w:val="00714510"/>
    <w:rsid w:val="007457F3"/>
    <w:rsid w:val="00791920"/>
    <w:rsid w:val="008900E4"/>
    <w:rsid w:val="008F6DF3"/>
    <w:rsid w:val="00907D45"/>
    <w:rsid w:val="009226F6"/>
    <w:rsid w:val="009361ED"/>
    <w:rsid w:val="009D278D"/>
    <w:rsid w:val="00A2209C"/>
    <w:rsid w:val="00A4213F"/>
    <w:rsid w:val="00A6737F"/>
    <w:rsid w:val="00A96D37"/>
    <w:rsid w:val="00AA2D81"/>
    <w:rsid w:val="00AA5D48"/>
    <w:rsid w:val="00AE796C"/>
    <w:rsid w:val="00B23C83"/>
    <w:rsid w:val="00B315DD"/>
    <w:rsid w:val="00B6318B"/>
    <w:rsid w:val="00B73C47"/>
    <w:rsid w:val="00BC0F1A"/>
    <w:rsid w:val="00BE5AEF"/>
    <w:rsid w:val="00C03113"/>
    <w:rsid w:val="00C0311B"/>
    <w:rsid w:val="00C33CD5"/>
    <w:rsid w:val="00CA28BB"/>
    <w:rsid w:val="00CF26A3"/>
    <w:rsid w:val="00D01762"/>
    <w:rsid w:val="00D80FCD"/>
    <w:rsid w:val="00DC15EB"/>
    <w:rsid w:val="00DE479A"/>
    <w:rsid w:val="00E07B90"/>
    <w:rsid w:val="00E5035F"/>
    <w:rsid w:val="00ED65C5"/>
    <w:rsid w:val="00EE77F6"/>
    <w:rsid w:val="00F21A90"/>
    <w:rsid w:val="00F23476"/>
    <w:rsid w:val="00F577CF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EA3ACA-E095-422B-8FD1-0EF66CDE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5D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315DD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B315DD"/>
    <w:pPr>
      <w:keepNext/>
      <w:jc w:val="both"/>
      <w:outlineLvl w:val="1"/>
    </w:pPr>
    <w:rPr>
      <w:b/>
      <w:cap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B315DD"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315DD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E79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E79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E796C"/>
    <w:rPr>
      <w:rFonts w:ascii="Calibri" w:hAnsi="Calibr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E796C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B315DD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E796C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B315DD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B315DD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E796C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B315DD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AE796C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B315DD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E796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B315DD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E796C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B3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E796C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B315DD"/>
    <w:rPr>
      <w:rFonts w:ascii="Broadway" w:hAnsi="Broadway"/>
      <w:b/>
      <w:caps/>
      <w:color w:val="800000"/>
      <w:sz w:val="24"/>
    </w:rPr>
  </w:style>
  <w:style w:type="paragraph" w:styleId="Zkladntext3">
    <w:name w:val="Body Text 3"/>
    <w:basedOn w:val="Normln"/>
    <w:link w:val="Zkladntext3Char"/>
    <w:uiPriority w:val="99"/>
    <w:rsid w:val="00B315DD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E796C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B315DD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E796C"/>
    <w:rPr>
      <w:rFonts w:cs="Times New Roman"/>
    </w:rPr>
  </w:style>
  <w:style w:type="paragraph" w:styleId="Zpat">
    <w:name w:val="footer"/>
    <w:basedOn w:val="Normln"/>
    <w:link w:val="ZpatChar"/>
    <w:uiPriority w:val="99"/>
    <w:rsid w:val="00B3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E796C"/>
    <w:rPr>
      <w:rFonts w:cs="Times New Roman"/>
    </w:rPr>
  </w:style>
  <w:style w:type="character" w:styleId="slostrnky">
    <w:name w:val="page number"/>
    <w:basedOn w:val="Standardnpsmoodstavce"/>
    <w:uiPriority w:val="99"/>
    <w:rsid w:val="00B315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25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4066D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692</Words>
  <Characters>4083</Characters>
  <Application>Microsoft Office Word</Application>
  <DocSecurity>0</DocSecurity>
  <Lines>34</Lines>
  <Paragraphs>9</Paragraphs>
  <ScaleCrop>false</ScaleCrop>
  <Company>FN Olomouc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Hrabálek Petr, Ing.</cp:lastModifiedBy>
  <cp:revision>5</cp:revision>
  <cp:lastPrinted>2020-04-16T09:35:00Z</cp:lastPrinted>
  <dcterms:created xsi:type="dcterms:W3CDTF">2018-07-27T05:18:00Z</dcterms:created>
  <dcterms:modified xsi:type="dcterms:W3CDTF">2020-04-16T09:35:00Z</dcterms:modified>
</cp:coreProperties>
</file>