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C8" w:rsidRDefault="00040482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bookmarkStart w:id="0" w:name="_GoBack"/>
      <w:r>
        <w:rPr>
          <w:noProof/>
        </w:rPr>
        <w:drawing>
          <wp:inline distT="0" distB="0" distL="0" distR="0" wp14:anchorId="7FB8C1A4" wp14:editId="3A662C70">
            <wp:extent cx="1376363" cy="352425"/>
            <wp:effectExtent l="0" t="0" r="0" b="0"/>
            <wp:docPr id="1" name="obrázek 2" descr="O:\- O R G A N I Z A Č N Í   N O R M Y\PODKLADY PRO ON - logo\FNOL_logo_pozitiv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:\- O R G A N I Z A Č N Í   N O R M Y\PODKLADY PRO ON - logo\FNOL_logo_pozitiv_CMYK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799" cy="35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C26C8" w:rsidRDefault="006C26C8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6C26C8" w:rsidRPr="00AF2A95" w:rsidRDefault="006C26C8">
      <w:pPr>
        <w:jc w:val="both"/>
        <w:rPr>
          <w:b/>
          <w:sz w:val="10"/>
          <w:szCs w:val="10"/>
        </w:rPr>
      </w:pPr>
    </w:p>
    <w:p w:rsidR="006C26C8" w:rsidRPr="00AF2A95" w:rsidRDefault="006C26C8">
      <w:pPr>
        <w:pStyle w:val="Zkladntext"/>
        <w:jc w:val="both"/>
        <w:rPr>
          <w:spacing w:val="4"/>
          <w:sz w:val="16"/>
          <w:u w:val="single"/>
        </w:rPr>
      </w:pPr>
      <w:r>
        <w:rPr>
          <w:rFonts w:ascii="Arial Narrow" w:hAnsi="Arial Narrow"/>
          <w:spacing w:val="8"/>
          <w:sz w:val="16"/>
        </w:rPr>
        <w:t>Transfuzní</w:t>
      </w:r>
      <w:r w:rsidR="00AF2A95">
        <w:rPr>
          <w:rFonts w:ascii="Arial Narrow" w:hAnsi="Arial Narrow"/>
          <w:spacing w:val="8"/>
          <w:sz w:val="16"/>
        </w:rPr>
        <w:t xml:space="preserve"> </w:t>
      </w:r>
      <w:r>
        <w:rPr>
          <w:rFonts w:ascii="Arial Narrow" w:hAnsi="Arial Narrow"/>
          <w:spacing w:val="8"/>
          <w:sz w:val="16"/>
        </w:rPr>
        <w:t>přípravek,</w:t>
      </w:r>
      <w:r w:rsidR="00AF2A95">
        <w:rPr>
          <w:rFonts w:ascii="Arial Narrow" w:hAnsi="Arial Narrow"/>
          <w:spacing w:val="8"/>
          <w:sz w:val="16"/>
        </w:rPr>
        <w:t xml:space="preserve"> </w:t>
      </w:r>
      <w:r>
        <w:rPr>
          <w:rFonts w:ascii="Arial Narrow" w:hAnsi="Arial Narrow"/>
          <w:spacing w:val="8"/>
          <w:sz w:val="16"/>
        </w:rPr>
        <w:t xml:space="preserve">který jste obdrželi, byl vyroben za dodržení všech definovaných postupů </w:t>
      </w:r>
      <w:r w:rsidR="00AF2A95">
        <w:rPr>
          <w:rFonts w:ascii="Arial Narrow" w:hAnsi="Arial Narrow"/>
          <w:spacing w:val="8"/>
          <w:sz w:val="16"/>
        </w:rPr>
        <w:t xml:space="preserve">      </w:t>
      </w:r>
      <w:r w:rsidRPr="00AF2A95">
        <w:rPr>
          <w:rFonts w:ascii="Arial Narrow" w:hAnsi="Arial Narrow"/>
          <w:spacing w:val="4"/>
          <w:sz w:val="16"/>
        </w:rPr>
        <w:t xml:space="preserve">pro výrobu, kontrolu a zabezpečování jakosti. K jeho znehodnocení může dojít </w:t>
      </w:r>
      <w:r w:rsidRPr="00AF2A95">
        <w:rPr>
          <w:rFonts w:ascii="Arial Narrow" w:hAnsi="Arial Narrow"/>
          <w:spacing w:val="4"/>
          <w:sz w:val="16"/>
          <w:u w:val="single"/>
        </w:rPr>
        <w:t>nesprávným postupem</w:t>
      </w:r>
      <w:r w:rsidR="00AF2A95">
        <w:rPr>
          <w:rFonts w:ascii="Arial Narrow" w:hAnsi="Arial Narrow"/>
          <w:spacing w:val="4"/>
          <w:sz w:val="16"/>
          <w:u w:val="single"/>
        </w:rPr>
        <w:t xml:space="preserve">     </w:t>
      </w:r>
      <w:r w:rsidRPr="00AF2A95">
        <w:rPr>
          <w:rFonts w:ascii="Arial Narrow" w:hAnsi="Arial Narrow"/>
          <w:spacing w:val="4"/>
          <w:sz w:val="16"/>
          <w:u w:val="single"/>
        </w:rPr>
        <w:t xml:space="preserve"> při transportu, skladování, manipulaci nebo aplikaci</w:t>
      </w:r>
      <w:r w:rsidRPr="00AF2A95">
        <w:rPr>
          <w:rFonts w:ascii="Arial Narrow" w:hAnsi="Arial Narrow"/>
          <w:spacing w:val="4"/>
          <w:sz w:val="16"/>
        </w:rPr>
        <w:t xml:space="preserve">. Žádáme Vás, abyste dodrželi následující pokyny. Případné doplňující informace Vám poskytneme na telefonním čísle </w:t>
      </w:r>
      <w:r w:rsidRPr="00AF2A95">
        <w:rPr>
          <w:rFonts w:ascii="Arial Narrow" w:hAnsi="Arial Narrow"/>
          <w:spacing w:val="4"/>
          <w:sz w:val="16"/>
          <w:u w:val="single"/>
        </w:rPr>
        <w:t>588 442 238</w:t>
      </w:r>
      <w:r w:rsidRPr="00AF2A95">
        <w:rPr>
          <w:spacing w:val="4"/>
          <w:sz w:val="16"/>
          <w:u w:val="single"/>
        </w:rPr>
        <w:t>.</w:t>
      </w:r>
    </w:p>
    <w:p w:rsidR="006C26C8" w:rsidRDefault="006C26C8">
      <w:pPr>
        <w:pStyle w:val="Zkladntext"/>
        <w:jc w:val="both"/>
        <w:rPr>
          <w:rFonts w:ascii="Arial Black" w:hAnsi="Arial Black"/>
          <w:b/>
          <w:spacing w:val="8"/>
          <w:sz w:val="16"/>
        </w:rPr>
      </w:pPr>
      <w:r>
        <w:t xml:space="preserve">                    </w:t>
      </w:r>
    </w:p>
    <w:p w:rsidR="006C26C8" w:rsidRDefault="006C26C8">
      <w:pPr>
        <w:pStyle w:val="Nadpis6"/>
        <w:tabs>
          <w:tab w:val="left" w:pos="851"/>
        </w:tabs>
        <w:jc w:val="both"/>
        <w:rPr>
          <w:color w:val="auto"/>
          <w:sz w:val="16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    </w:t>
      </w:r>
      <w:r>
        <w:rPr>
          <w:color w:val="auto"/>
          <w:sz w:val="18"/>
        </w:rPr>
        <w:t>Erytrocyty z AFERÉZY resuspendované</w:t>
      </w:r>
    </w:p>
    <w:p w:rsidR="006C26C8" w:rsidRDefault="006C26C8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>
        <w:rPr>
          <w:color w:val="auto"/>
          <w:sz w:val="18"/>
        </w:rPr>
        <w:t>EAR</w:t>
      </w:r>
    </w:p>
    <w:p w:rsidR="006C26C8" w:rsidRPr="00AF2A95" w:rsidRDefault="006C26C8">
      <w:pPr>
        <w:rPr>
          <w:sz w:val="10"/>
          <w:szCs w:val="10"/>
        </w:rPr>
      </w:pPr>
    </w:p>
    <w:p w:rsidR="006C26C8" w:rsidRDefault="006C26C8">
      <w:pPr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6C26C8" w:rsidRDefault="006C26C8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 I. P. Pavlova 185/6, 779 00  Olomouc – C 2059.</w:t>
      </w:r>
    </w:p>
    <w:p w:rsidR="006C26C8" w:rsidRDefault="006C26C8">
      <w:pPr>
        <w:jc w:val="both"/>
        <w:rPr>
          <w:caps/>
          <w:sz w:val="14"/>
        </w:rPr>
      </w:pPr>
    </w:p>
    <w:p w:rsidR="006C26C8" w:rsidRDefault="006C26C8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6C26C8" w:rsidRDefault="006C26C8" w:rsidP="001D5BBD">
      <w:pPr>
        <w:numPr>
          <w:ilvl w:val="0"/>
          <w:numId w:val="24"/>
        </w:numPr>
        <w:tabs>
          <w:tab w:val="clear" w:pos="720"/>
          <w:tab w:val="num" w:pos="284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koncentrát erytrocytů,</w:t>
      </w:r>
    </w:p>
    <w:p w:rsidR="006C26C8" w:rsidRDefault="006C26C8" w:rsidP="001D5BBD">
      <w:pPr>
        <w:numPr>
          <w:ilvl w:val="0"/>
          <w:numId w:val="24"/>
        </w:numPr>
        <w:tabs>
          <w:tab w:val="clear" w:pos="720"/>
          <w:tab w:val="num" w:pos="284"/>
        </w:tabs>
        <w:ind w:left="36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z w:val="14"/>
        </w:rPr>
        <w:t>antikoagulační roztok CPD 50,</w:t>
      </w:r>
    </w:p>
    <w:p w:rsidR="006C26C8" w:rsidRDefault="006C26C8" w:rsidP="001D5BBD">
      <w:pPr>
        <w:numPr>
          <w:ilvl w:val="0"/>
          <w:numId w:val="24"/>
        </w:numPr>
        <w:tabs>
          <w:tab w:val="clear" w:pos="720"/>
          <w:tab w:val="num" w:pos="284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resuspenzní roztok SAGM 100 ml,</w:t>
      </w:r>
    </w:p>
    <w:p w:rsidR="006C26C8" w:rsidRDefault="006C26C8" w:rsidP="001D5BBD">
      <w:pPr>
        <w:pStyle w:val="Zkladntextodsazen3"/>
        <w:numPr>
          <w:ilvl w:val="0"/>
          <w:numId w:val="24"/>
        </w:numPr>
        <w:tabs>
          <w:tab w:val="clear" w:pos="720"/>
          <w:tab w:val="num" w:pos="284"/>
        </w:tabs>
        <w:ind w:left="360"/>
        <w:jc w:val="both"/>
      </w:pPr>
      <w:r>
        <w:t>hematokrit: 0,50 – 0,70,</w:t>
      </w:r>
    </w:p>
    <w:p w:rsidR="006C26C8" w:rsidRDefault="006C26C8" w:rsidP="001D5BBD">
      <w:pPr>
        <w:pStyle w:val="Zkladntextodsazen3"/>
        <w:numPr>
          <w:ilvl w:val="0"/>
          <w:numId w:val="24"/>
        </w:numPr>
        <w:tabs>
          <w:tab w:val="clear" w:pos="720"/>
          <w:tab w:val="num" w:pos="284"/>
        </w:tabs>
        <w:ind w:left="360"/>
        <w:jc w:val="both"/>
      </w:pPr>
      <w:r>
        <w:t>hemoglobin: minimálně 43 g/T.U.,</w:t>
      </w:r>
    </w:p>
    <w:p w:rsidR="006C26C8" w:rsidRPr="00E4669E" w:rsidRDefault="006C26C8" w:rsidP="001D5BBD">
      <w:pPr>
        <w:pStyle w:val="Zkladntextodsazen3"/>
        <w:numPr>
          <w:ilvl w:val="0"/>
          <w:numId w:val="24"/>
        </w:numPr>
        <w:tabs>
          <w:tab w:val="clear" w:pos="720"/>
          <w:tab w:val="num" w:pos="284"/>
        </w:tabs>
        <w:ind w:left="360"/>
        <w:jc w:val="both"/>
      </w:pPr>
      <w:r>
        <w:t>leukocyty: nižší než 1,2 x 10</w:t>
      </w:r>
      <w:r>
        <w:rPr>
          <w:vertAlign w:val="superscript"/>
        </w:rPr>
        <w:t>9</w:t>
      </w:r>
      <w:r>
        <w:t xml:space="preserve">/T.U., </w:t>
      </w:r>
    </w:p>
    <w:p w:rsidR="006C26C8" w:rsidRDefault="006C26C8" w:rsidP="001D5BBD">
      <w:pPr>
        <w:pStyle w:val="Zkladntextodsazen3"/>
        <w:numPr>
          <w:ilvl w:val="0"/>
          <w:numId w:val="24"/>
        </w:numPr>
        <w:tabs>
          <w:tab w:val="clear" w:pos="720"/>
          <w:tab w:val="num" w:pos="284"/>
        </w:tabs>
        <w:ind w:left="360"/>
        <w:jc w:val="both"/>
      </w:pPr>
      <w:r>
        <w:t>trombocyty: nižší než 20 x 10</w:t>
      </w:r>
      <w:r>
        <w:rPr>
          <w:vertAlign w:val="superscript"/>
        </w:rPr>
        <w:t>9</w:t>
      </w:r>
      <w:r>
        <w:t>/T.U.,</w:t>
      </w:r>
    </w:p>
    <w:p w:rsidR="006C26C8" w:rsidRDefault="006C26C8" w:rsidP="001D5BBD">
      <w:pPr>
        <w:pStyle w:val="Zkladntextodsazen3"/>
        <w:numPr>
          <w:ilvl w:val="0"/>
          <w:numId w:val="24"/>
        </w:numPr>
        <w:tabs>
          <w:tab w:val="clear" w:pos="720"/>
          <w:tab w:val="num" w:pos="284"/>
        </w:tabs>
        <w:ind w:left="360"/>
        <w:jc w:val="both"/>
      </w:pPr>
      <w:r>
        <w:t>hemolýza na konci doby použitelnosti méně než 0,8% erytrocytové hmoty.</w:t>
      </w:r>
    </w:p>
    <w:p w:rsidR="006C26C8" w:rsidRDefault="006C26C8">
      <w:pPr>
        <w:jc w:val="both"/>
        <w:rPr>
          <w:rFonts w:ascii="Arial" w:hAnsi="Arial"/>
          <w:b/>
          <w:sz w:val="14"/>
          <w:u w:val="single"/>
        </w:rPr>
      </w:pPr>
    </w:p>
    <w:p w:rsidR="006C26C8" w:rsidRDefault="006C26C8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6C26C8" w:rsidRDefault="006C26C8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6C26C8" w:rsidRDefault="006C26C8">
      <w:pPr>
        <w:jc w:val="both"/>
        <w:rPr>
          <w:rFonts w:ascii="Arial" w:hAnsi="Arial"/>
          <w:b/>
          <w:sz w:val="14"/>
          <w:u w:val="single"/>
        </w:rPr>
      </w:pPr>
    </w:p>
    <w:p w:rsidR="006C26C8" w:rsidRPr="00FC5D37" w:rsidRDefault="006C26C8">
      <w:pPr>
        <w:jc w:val="both"/>
        <w:rPr>
          <w:rFonts w:ascii="Arial" w:hAnsi="Arial"/>
          <w:sz w:val="14"/>
        </w:rPr>
      </w:pPr>
      <w:r w:rsidRPr="00FC5D37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0007963</w:t>
      </w:r>
    </w:p>
    <w:p w:rsidR="006C26C8" w:rsidRDefault="006C26C8">
      <w:pPr>
        <w:jc w:val="both"/>
        <w:rPr>
          <w:rFonts w:ascii="Arial" w:hAnsi="Arial"/>
          <w:sz w:val="14"/>
        </w:rPr>
      </w:pPr>
    </w:p>
    <w:p w:rsidR="006C26C8" w:rsidRDefault="006C26C8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6C26C8" w:rsidRDefault="006C26C8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EAR je koncentrát erytrocytů získaný od jednoho dárce erytrocytaferézou (= odběr pomocí přístroje </w:t>
      </w:r>
      <w:r w:rsidR="00AF2A95">
        <w:rPr>
          <w:rFonts w:ascii="Arial" w:hAnsi="Arial"/>
          <w:color w:val="auto"/>
          <w:sz w:val="14"/>
          <w:lang w:val="cs-CZ"/>
        </w:rPr>
        <w:t xml:space="preserve">         </w:t>
      </w:r>
      <w:r>
        <w:rPr>
          <w:rFonts w:ascii="Arial" w:hAnsi="Arial"/>
          <w:color w:val="auto"/>
          <w:sz w:val="14"/>
          <w:lang w:val="cs-CZ"/>
        </w:rPr>
        <w:t>pro separaci krevních buněk). Tato metoda umožňuje od vybraných dárců odebrat jednorázově 2 T.U. erytrocytů, tím tak snižovat riziko HLA imunizace a efektivně léčit pacienty již aloimunizované. Snížením počtu  odebraných  dárců  může  být  u  polytransfundovaných  pacientů  sníženo  také  riziko  přenosu  virů i aloimunizace erytrocytovými antigeny. Odstranění buffy-coatu (= vrstvy leukocytů a trombocytů) během zpracování při odběru snižuje tvorbu mikroagregátů.</w:t>
      </w:r>
    </w:p>
    <w:p w:rsidR="006C26C8" w:rsidRDefault="006C26C8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  <w:u w:val="single"/>
        </w:rPr>
      </w:pPr>
    </w:p>
    <w:p w:rsidR="006C26C8" w:rsidRPr="004D6841" w:rsidRDefault="006C26C8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   </w:t>
      </w:r>
      <w:r>
        <w:rPr>
          <w:rFonts w:ascii="Arial" w:hAnsi="Arial"/>
          <w:sz w:val="14"/>
        </w:rPr>
        <w:t>1 T.U.: minimálně 250 ml</w:t>
      </w:r>
    </w:p>
    <w:p w:rsidR="006C26C8" w:rsidRDefault="006C26C8">
      <w:pPr>
        <w:tabs>
          <w:tab w:val="left" w:pos="284"/>
          <w:tab w:val="left" w:pos="709"/>
        </w:tabs>
        <w:jc w:val="both"/>
        <w:rPr>
          <w:rFonts w:ascii="Arial" w:hAnsi="Arial"/>
          <w:sz w:val="14"/>
        </w:rPr>
      </w:pPr>
    </w:p>
    <w:p w:rsidR="006C26C8" w:rsidRDefault="006C26C8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6C26C8" w:rsidRDefault="006C26C8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Léčba anémie, náhrada krevní ztráty, zejména:</w:t>
      </w:r>
    </w:p>
    <w:p w:rsidR="006C26C8" w:rsidRDefault="006C26C8" w:rsidP="001D5BBD">
      <w:pPr>
        <w:pStyle w:val="Zkladntextodsazen"/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u pacientů se vzácnou kombinací erytrocytových antigenů (od  dárce stejného antigenního složení získáme při tomto druhu odběru 2 T.U.),</w:t>
      </w:r>
    </w:p>
    <w:p w:rsidR="006C26C8" w:rsidRDefault="006C26C8" w:rsidP="001D5BBD">
      <w:pPr>
        <w:pStyle w:val="Zkladntextodsazen"/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u pacientů s opakovanými nehemolytickými reakcemi po transfuzi,</w:t>
      </w:r>
    </w:p>
    <w:p w:rsidR="006C26C8" w:rsidRDefault="006C26C8" w:rsidP="001D5BBD">
      <w:pPr>
        <w:pStyle w:val="Zkladntextodsazen"/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u pacientů s prokázanými cytotoxickými HLA protilátkami a erytrocytovými protilátkami,</w:t>
      </w:r>
    </w:p>
    <w:p w:rsidR="006C26C8" w:rsidRDefault="006C26C8" w:rsidP="001D5BBD">
      <w:pPr>
        <w:pStyle w:val="Zkladntextodsazen"/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u pacientů chronicky  substituovaných  erytrocyty   (menší  riziko  aloimunizace  při  možnosti  získání </w:t>
      </w:r>
    </w:p>
    <w:p w:rsidR="006C26C8" w:rsidRDefault="006C26C8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        2 T.U.  od jednoho dárce).</w:t>
      </w:r>
    </w:p>
    <w:p w:rsidR="006C26C8" w:rsidRDefault="006C26C8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</w:p>
    <w:p w:rsidR="006C26C8" w:rsidRDefault="006C26C8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6C26C8" w:rsidRDefault="006C26C8" w:rsidP="001D5BBD">
      <w:pPr>
        <w:numPr>
          <w:ilvl w:val="0"/>
          <w:numId w:val="25"/>
        </w:numPr>
        <w:tabs>
          <w:tab w:val="clear" w:pos="720"/>
          <w:tab w:val="num" w:pos="284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relativní hypervolémie,</w:t>
      </w:r>
    </w:p>
    <w:p w:rsidR="006C26C8" w:rsidRDefault="006C26C8" w:rsidP="001D5BBD">
      <w:pPr>
        <w:numPr>
          <w:ilvl w:val="0"/>
          <w:numId w:val="25"/>
        </w:numPr>
        <w:tabs>
          <w:tab w:val="clear" w:pos="720"/>
          <w:tab w:val="num" w:pos="284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 případech, kde lze dosáhnout normalizace krevního obrazu jiným způsobem léčby.</w:t>
      </w:r>
    </w:p>
    <w:p w:rsidR="006C26C8" w:rsidRDefault="006C26C8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</w:p>
    <w:p w:rsidR="006C26C8" w:rsidRDefault="006C26C8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6C26C8" w:rsidRDefault="006C26C8" w:rsidP="001D5BBD">
      <w:pPr>
        <w:numPr>
          <w:ilvl w:val="0"/>
          <w:numId w:val="26"/>
        </w:numPr>
        <w:tabs>
          <w:tab w:val="clear" w:pos="720"/>
          <w:tab w:val="num" w:pos="284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oběhové přetížení,</w:t>
      </w:r>
    </w:p>
    <w:p w:rsidR="006C26C8" w:rsidRDefault="006C26C8" w:rsidP="001D5BBD">
      <w:pPr>
        <w:numPr>
          <w:ilvl w:val="0"/>
          <w:numId w:val="26"/>
        </w:numPr>
        <w:tabs>
          <w:tab w:val="clear" w:pos="720"/>
          <w:tab w:val="num" w:pos="284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hemolytická potransfuzní reakce,</w:t>
      </w:r>
    </w:p>
    <w:p w:rsidR="006C26C8" w:rsidRDefault="006C26C8" w:rsidP="001D5BBD">
      <w:pPr>
        <w:numPr>
          <w:ilvl w:val="0"/>
          <w:numId w:val="26"/>
        </w:numPr>
        <w:tabs>
          <w:tab w:val="clear" w:pos="720"/>
          <w:tab w:val="num" w:pos="284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nehemolytické potransfuzní reakce (hlavně zimnice, horečka, kopřivka),</w:t>
      </w:r>
    </w:p>
    <w:p w:rsidR="006C26C8" w:rsidRDefault="006C26C8" w:rsidP="001D5BBD">
      <w:pPr>
        <w:numPr>
          <w:ilvl w:val="0"/>
          <w:numId w:val="26"/>
        </w:numPr>
        <w:tabs>
          <w:tab w:val="clear" w:pos="720"/>
          <w:tab w:val="num" w:pos="284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aloimunizace proti HLA a erytrocytovým antigenům,</w:t>
      </w:r>
    </w:p>
    <w:p w:rsidR="006C26C8" w:rsidRDefault="006C26C8" w:rsidP="001D5BBD">
      <w:pPr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riziko infekcí přenosných krví (hepatitidy, HIV, syfilis) je možné bez ohledu na pečlivý výběr dárců        a screeningová vyšetření,</w:t>
      </w:r>
    </w:p>
    <w:p w:rsidR="006C26C8" w:rsidRDefault="006C26C8" w:rsidP="001D5BBD">
      <w:pPr>
        <w:numPr>
          <w:ilvl w:val="0"/>
          <w:numId w:val="27"/>
        </w:numPr>
        <w:tabs>
          <w:tab w:val="clear" w:pos="720"/>
          <w:tab w:val="num" w:pos="284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malárie),</w:t>
      </w:r>
    </w:p>
    <w:p w:rsidR="006C26C8" w:rsidRDefault="006C26C8" w:rsidP="001D5BBD">
      <w:pPr>
        <w:numPr>
          <w:ilvl w:val="0"/>
          <w:numId w:val="27"/>
        </w:numPr>
        <w:tabs>
          <w:tab w:val="clear" w:pos="720"/>
          <w:tab w:val="num" w:pos="284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kontaminací,</w:t>
      </w:r>
    </w:p>
    <w:p w:rsidR="006C26C8" w:rsidRDefault="006C26C8" w:rsidP="001D5BBD">
      <w:pPr>
        <w:numPr>
          <w:ilvl w:val="0"/>
          <w:numId w:val="27"/>
        </w:numPr>
        <w:tabs>
          <w:tab w:val="clear" w:pos="720"/>
          <w:tab w:val="num" w:pos="284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biochemické odchylky při masivní transfuzi, např. hyperkalémie,</w:t>
      </w:r>
    </w:p>
    <w:p w:rsidR="006C26C8" w:rsidRDefault="006C26C8" w:rsidP="001D5BBD">
      <w:pPr>
        <w:numPr>
          <w:ilvl w:val="0"/>
          <w:numId w:val="27"/>
        </w:numPr>
        <w:tabs>
          <w:tab w:val="clear" w:pos="720"/>
          <w:tab w:val="num" w:pos="284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lastRenderedPageBreak/>
        <w:t>potransfuzní purpura,</w:t>
      </w:r>
    </w:p>
    <w:p w:rsidR="006C26C8" w:rsidRPr="00E4669E" w:rsidRDefault="006C26C8" w:rsidP="001D5BBD">
      <w:pPr>
        <w:numPr>
          <w:ilvl w:val="0"/>
          <w:numId w:val="27"/>
        </w:numPr>
        <w:tabs>
          <w:tab w:val="clear" w:pos="720"/>
          <w:tab w:val="num" w:pos="284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akutní poškození plic vyvolané transfuzí </w:t>
      </w:r>
      <w:r w:rsidRPr="00E4669E">
        <w:rPr>
          <w:rFonts w:ascii="Arial" w:hAnsi="Arial"/>
          <w:sz w:val="14"/>
        </w:rPr>
        <w:t>(TRALI)</w:t>
      </w:r>
      <w:r>
        <w:rPr>
          <w:rFonts w:ascii="Arial" w:hAnsi="Arial"/>
          <w:sz w:val="14"/>
        </w:rPr>
        <w:t>,</w:t>
      </w:r>
    </w:p>
    <w:p w:rsidR="006C26C8" w:rsidRDefault="006C26C8" w:rsidP="001D5BBD">
      <w:pPr>
        <w:numPr>
          <w:ilvl w:val="0"/>
          <w:numId w:val="27"/>
        </w:numPr>
        <w:tabs>
          <w:tab w:val="clear" w:pos="720"/>
          <w:tab w:val="num" w:pos="284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přenos jiných patogenů, které se screeningově netestují nebo nebyly dosud rozpoznány.</w:t>
      </w:r>
    </w:p>
    <w:p w:rsidR="006C26C8" w:rsidRDefault="006C26C8">
      <w:pPr>
        <w:jc w:val="both"/>
        <w:rPr>
          <w:rFonts w:ascii="Arial" w:hAnsi="Arial"/>
          <w:b/>
          <w:sz w:val="14"/>
          <w:u w:val="single"/>
        </w:rPr>
      </w:pPr>
    </w:p>
    <w:p w:rsidR="006C26C8" w:rsidRDefault="006C26C8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6C26C8" w:rsidRDefault="006C26C8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6C26C8" w:rsidRDefault="006C26C8">
      <w:pPr>
        <w:jc w:val="both"/>
        <w:rPr>
          <w:rFonts w:ascii="Arial" w:hAnsi="Arial"/>
          <w:sz w:val="14"/>
        </w:rPr>
      </w:pPr>
    </w:p>
    <w:p w:rsidR="006C26C8" w:rsidRDefault="006C26C8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6C26C8" w:rsidRDefault="006C26C8">
      <w:pPr>
        <w:pStyle w:val="Zkladntext3"/>
      </w:pPr>
      <w:r>
        <w:t>Dávkování určuje lékař. Obvykle se krevní transfuze podává při klinických známkách nedostatečného sycení kyslíkem. Jedna transfuzní jednotka EAR zlepšuje hematokrit u dospělého přibližně o 0,2.</w:t>
      </w:r>
      <w:r w:rsidR="00AF2A95">
        <w:t xml:space="preserve">            </w:t>
      </w:r>
      <w:r>
        <w:t xml:space="preserve"> Při náhlém krvácení se nejdříve podávají krystaloidy, koloidy a krevní transfuze až následně.</w:t>
      </w:r>
    </w:p>
    <w:p w:rsidR="006C26C8" w:rsidRPr="008259D3" w:rsidRDefault="006C26C8" w:rsidP="008259D3">
      <w:pPr>
        <w:pStyle w:val="Seznamsodrkami"/>
        <w:rPr>
          <w:b/>
          <w:u w:val="single"/>
        </w:rPr>
      </w:pPr>
      <w:r w:rsidRPr="008259D3">
        <w:t xml:space="preserve">Přípravek se podává intravenózně transfuzním setem s filtrem o velikosti pórů 170 </w:t>
      </w:r>
      <w:r w:rsidRPr="008259D3">
        <w:rPr>
          <w:szCs w:val="14"/>
        </w:rPr>
        <w:sym w:font="Symbol" w:char="F06D"/>
      </w:r>
      <w:r w:rsidRPr="008259D3">
        <w:t xml:space="preserve">m až 200 </w:t>
      </w:r>
      <w:r w:rsidRPr="008259D3">
        <w:rPr>
          <w:szCs w:val="14"/>
        </w:rPr>
        <w:sym w:font="Symbol" w:char="F06D"/>
      </w:r>
      <w:r w:rsidRPr="008259D3">
        <w:t>m.</w:t>
      </w:r>
    </w:p>
    <w:p w:rsidR="006C26C8" w:rsidRPr="008259D3" w:rsidRDefault="006C26C8" w:rsidP="008259D3">
      <w:pPr>
        <w:pStyle w:val="Seznamsodrkami"/>
        <w:rPr>
          <w:b/>
          <w:spacing w:val="-4"/>
          <w:u w:val="single"/>
        </w:rPr>
      </w:pPr>
      <w:r w:rsidRPr="008259D3">
        <w:rPr>
          <w:spacing w:val="-4"/>
        </w:rPr>
        <w:t>Kontrola vnějšího vzhledu přípravku se zaměřením na možnou hemolýzu, sraženiny a neporušenost obalu.</w:t>
      </w:r>
    </w:p>
    <w:p w:rsidR="006C26C8" w:rsidRDefault="006C26C8" w:rsidP="008259D3">
      <w:pPr>
        <w:pStyle w:val="Seznamsodrkami"/>
        <w:rPr>
          <w:b/>
          <w:u w:val="single"/>
        </w:rPr>
      </w:pPr>
      <w:r>
        <w:t>Kontrola dokumentace, čísla a typu transfuzního přípravku, doby použitelnosti, skupiny v AB0 a RhD systému.</w:t>
      </w:r>
    </w:p>
    <w:p w:rsidR="006C26C8" w:rsidRDefault="006C26C8" w:rsidP="008259D3">
      <w:pPr>
        <w:pStyle w:val="Seznamsodrkami"/>
        <w:rPr>
          <w:b/>
          <w:u w:val="single"/>
        </w:rPr>
      </w:pPr>
      <w:r>
        <w:t>Provést povinnou zajišťovací zkoušku.</w:t>
      </w:r>
    </w:p>
    <w:p w:rsidR="006C26C8" w:rsidRDefault="006C26C8" w:rsidP="008259D3">
      <w:pPr>
        <w:pStyle w:val="Seznamsodrkami"/>
        <w:rPr>
          <w:b/>
          <w:u w:val="single"/>
        </w:rPr>
      </w:pPr>
      <w:r>
        <w:t>Před a po transfuzi zkontrolovat u pacienta TK,  puls, tělesnou teplotu.</w:t>
      </w:r>
    </w:p>
    <w:p w:rsidR="006C26C8" w:rsidRDefault="006C26C8" w:rsidP="008259D3">
      <w:pPr>
        <w:pStyle w:val="Seznamsodrkami"/>
        <w:rPr>
          <w:b/>
          <w:u w:val="single"/>
        </w:rPr>
      </w:pPr>
      <w:r>
        <w:t>Při začátku transfuze provést biologickou zkoušku dle klinické potřeby.</w:t>
      </w:r>
    </w:p>
    <w:p w:rsidR="006C26C8" w:rsidRDefault="006C26C8" w:rsidP="008259D3">
      <w:pPr>
        <w:pStyle w:val="Seznamsodrkami"/>
        <w:rPr>
          <w:b/>
          <w:u w:val="single"/>
        </w:rPr>
      </w:pPr>
      <w:r>
        <w:t>Po ukončení transfuze ponechat zbytek přípravku (nejméně 10 ml) ve vaku na dobu 24 hodin v chladničce.</w:t>
      </w:r>
    </w:p>
    <w:p w:rsidR="006C26C8" w:rsidRDefault="006C26C8" w:rsidP="008259D3">
      <w:pPr>
        <w:pStyle w:val="Seznamsodrkami"/>
      </w:pPr>
    </w:p>
    <w:p w:rsidR="006C26C8" w:rsidRDefault="006C26C8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6C26C8" w:rsidRDefault="006C26C8" w:rsidP="004D6841">
      <w:pPr>
        <w:pStyle w:val="Zkladntextodsazen"/>
        <w:numPr>
          <w:ilvl w:val="0"/>
          <w:numId w:val="30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Kompatibilita přípravku s uvažovaným příjemcem se musí ověřit povinným předtransfuzním      vyšetřením.</w:t>
      </w:r>
      <w:r>
        <w:rPr>
          <w:lang w:val="cs-CZ"/>
        </w:rPr>
        <w:t xml:space="preserve"> </w:t>
      </w:r>
      <w:r>
        <w:rPr>
          <w:rFonts w:ascii="Arial" w:hAnsi="Arial"/>
          <w:color w:val="auto"/>
          <w:sz w:val="14"/>
          <w:lang w:val="cs-CZ"/>
        </w:rPr>
        <w:t>Toto vyšetření platí pouze 72 hodin, pak je nutno vyšetření zopakovat.</w:t>
      </w:r>
    </w:p>
    <w:p w:rsidR="006C26C8" w:rsidRDefault="006C26C8" w:rsidP="004D6841">
      <w:pPr>
        <w:pStyle w:val="Zkladntextodsazen"/>
        <w:numPr>
          <w:ilvl w:val="0"/>
          <w:numId w:val="30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6C26C8" w:rsidRDefault="006C26C8" w:rsidP="004D6841">
      <w:pPr>
        <w:pStyle w:val="Zkladntextodsazen"/>
        <w:numPr>
          <w:ilvl w:val="0"/>
          <w:numId w:val="30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lze vrátit zpět na transfuzní oddělení (krevní banku) pouze výjimečně, a to po předchozí domluvě.</w:t>
      </w:r>
    </w:p>
    <w:p w:rsidR="006C26C8" w:rsidRDefault="006C26C8" w:rsidP="004D6841">
      <w:pPr>
        <w:pStyle w:val="Zkladntextodsazen"/>
        <w:numPr>
          <w:ilvl w:val="0"/>
          <w:numId w:val="30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6C26C8" w:rsidRDefault="006C26C8" w:rsidP="004D6841">
      <w:pPr>
        <w:pStyle w:val="Zkladntextodsazen"/>
        <w:numPr>
          <w:ilvl w:val="0"/>
          <w:numId w:val="30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6C26C8" w:rsidRDefault="006C26C8" w:rsidP="004D6841">
      <w:pPr>
        <w:pStyle w:val="Zkladntextodsazen"/>
        <w:numPr>
          <w:ilvl w:val="0"/>
          <w:numId w:val="30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 xml:space="preserve">Hlásit je třeba nežádoucí reakce související s podáním transfuze, vzniklé během transfuze i po ní nebo podezření na ně. </w:t>
      </w:r>
    </w:p>
    <w:p w:rsidR="006C26C8" w:rsidRPr="00FC5D37" w:rsidRDefault="006C26C8" w:rsidP="00FC5D37">
      <w:pPr>
        <w:pStyle w:val="Zkladntextodsazen"/>
        <w:numPr>
          <w:ilvl w:val="0"/>
          <w:numId w:val="30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FC5D37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FC5D37">
        <w:rPr>
          <w:rFonts w:ascii="Arial" w:hAnsi="Arial"/>
          <w:color w:val="auto"/>
          <w:sz w:val="14"/>
          <w:szCs w:val="14"/>
          <w:lang w:val="cs-CZ"/>
        </w:rPr>
        <w:t xml:space="preserve">143/2008 Sb., </w:t>
      </w:r>
      <w:r w:rsidRPr="00FC5D37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FC5D37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FC5D37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FC5D37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FC5D37">
        <w:rPr>
          <w:rFonts w:ascii="Arial" w:hAnsi="Arial"/>
          <w:color w:val="auto"/>
          <w:sz w:val="14"/>
          <w:szCs w:val="14"/>
          <w:lang w:val="cs-CZ"/>
        </w:rPr>
        <w:t>9) z důvodu zajištění hemovigilance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FC5D37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FC5D37">
        <w:rPr>
          <w:rFonts w:ascii="Arial" w:hAnsi="Arial" w:cs="Arial"/>
          <w:color w:val="auto"/>
          <w:sz w:val="14"/>
          <w:szCs w:val="14"/>
          <w:lang w:val="cs-CZ"/>
        </w:rPr>
        <w:t>§ 3) ukládá zdravotnickému zařízení podávající transfuzi (lékař) povinnost oznámit na SÚKL závažnou nežádoucí reakci u příjemce nebo podezření na ni, přičemž se jedná o reakci,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FC5D37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6C26C8" w:rsidRPr="001D5BBD" w:rsidRDefault="006C26C8">
      <w:pPr>
        <w:pStyle w:val="Zkladntextodsazen"/>
        <w:jc w:val="both"/>
        <w:rPr>
          <w:rFonts w:ascii="Arial" w:hAnsi="Arial"/>
          <w:color w:val="auto"/>
          <w:sz w:val="12"/>
          <w:szCs w:val="12"/>
          <w:lang w:val="cs-CZ"/>
        </w:rPr>
      </w:pPr>
    </w:p>
    <w:p w:rsidR="006C26C8" w:rsidRDefault="006C26C8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6C26C8" w:rsidRDefault="006C26C8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různé typy nesnášenlivosti plazmy (nemusí to platit pro transfuzní přípravky s nízkým obsahem plazmy).</w:t>
      </w:r>
    </w:p>
    <w:p w:rsidR="006C26C8" w:rsidRDefault="006C26C8" w:rsidP="008259D3">
      <w:pPr>
        <w:pStyle w:val="Seznamsodrkami"/>
        <w:numPr>
          <w:ilvl w:val="0"/>
          <w:numId w:val="0"/>
        </w:numPr>
      </w:pPr>
    </w:p>
    <w:p w:rsidR="006C26C8" w:rsidRDefault="006C26C8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6C26C8" w:rsidRDefault="006C26C8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se uchovává v chladnici při kontrolované teplotě  +</w:t>
      </w:r>
      <w:smartTag w:uri="urn:schemas-microsoft-com:office:smarttags" w:element="metricconverter">
        <w:smartTagPr>
          <w:attr w:name="ProductID" w:val="2 ﾰC"/>
        </w:smartTagPr>
        <w:r>
          <w:rPr>
            <w:rFonts w:ascii="Arial" w:hAnsi="Arial"/>
            <w:sz w:val="14"/>
          </w:rPr>
          <w:t>2 °C</w:t>
        </w:r>
      </w:smartTag>
      <w:r>
        <w:rPr>
          <w:rFonts w:ascii="Arial" w:hAnsi="Arial"/>
          <w:sz w:val="14"/>
        </w:rPr>
        <w:t xml:space="preserve"> až +</w:t>
      </w:r>
      <w:smartTag w:uri="urn:schemas-microsoft-com:office:smarttags" w:element="metricconverter">
        <w:smartTagPr>
          <w:attr w:name="ProductID" w:val="6 ﾰC"/>
        </w:smartTagPr>
        <w:r>
          <w:rPr>
            <w:rFonts w:ascii="Arial" w:hAnsi="Arial"/>
            <w:sz w:val="14"/>
          </w:rPr>
          <w:t>6 °C</w:t>
        </w:r>
      </w:smartTag>
      <w:r>
        <w:rPr>
          <w:rFonts w:ascii="Arial" w:hAnsi="Arial"/>
          <w:sz w:val="14"/>
        </w:rPr>
        <w:t>.</w:t>
      </w:r>
    </w:p>
    <w:p w:rsidR="006C26C8" w:rsidRDefault="006C26C8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42 dnů od odběru a je uvedena na štítku transfuzního přípravku.</w:t>
      </w:r>
    </w:p>
    <w:p w:rsidR="006C26C8" w:rsidRDefault="006C26C8">
      <w:pPr>
        <w:jc w:val="both"/>
        <w:rPr>
          <w:rFonts w:ascii="Arial" w:hAnsi="Arial"/>
          <w:b/>
          <w:i/>
          <w:sz w:val="14"/>
        </w:rPr>
      </w:pPr>
    </w:p>
    <w:p w:rsidR="006C26C8" w:rsidRDefault="006C26C8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6C26C8" w:rsidRDefault="006C26C8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erytrocyty ze separace od jednoho dárce</w:t>
      </w:r>
    </w:p>
    <w:p w:rsidR="006C26C8" w:rsidRDefault="006C26C8">
      <w:pPr>
        <w:jc w:val="both"/>
        <w:rPr>
          <w:rFonts w:ascii="Arial" w:hAnsi="Arial"/>
          <w:b/>
          <w:i/>
          <w:sz w:val="14"/>
        </w:rPr>
      </w:pPr>
    </w:p>
    <w:p w:rsidR="006C26C8" w:rsidRDefault="006C26C8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5F734D" w:rsidRPr="00BA3CCA" w:rsidRDefault="005F734D" w:rsidP="005F734D">
      <w:pPr>
        <w:pStyle w:val="Nadpis4"/>
        <w:keepNext w:val="0"/>
        <w:tabs>
          <w:tab w:val="num" w:pos="680"/>
          <w:tab w:val="left" w:pos="1077"/>
          <w:tab w:val="num" w:pos="1140"/>
        </w:tabs>
        <w:suppressAutoHyphens/>
        <w:spacing w:before="80"/>
        <w:jc w:val="both"/>
        <w:rPr>
          <w:rFonts w:ascii="Arial" w:hAnsi="Arial" w:cs="Arial"/>
          <w:b w:val="0"/>
          <w:i w:val="0"/>
          <w:color w:val="auto"/>
          <w:sz w:val="14"/>
        </w:rPr>
      </w:pPr>
      <w:r w:rsidRPr="00BA3CCA">
        <w:rPr>
          <w:rFonts w:ascii="Arial" w:hAnsi="Arial"/>
          <w:b w:val="0"/>
          <w:i w:val="0"/>
          <w:color w:val="auto"/>
          <w:sz w:val="14"/>
        </w:rPr>
        <w:t xml:space="preserve">Zajišťuje se v předem vychlazených uzavřených termoboxech s chladící vložkou, aby byla zajištěna požadovaná přepravní teplota. </w:t>
      </w:r>
      <w:r w:rsidRPr="00BA3CCA">
        <w:rPr>
          <w:rFonts w:ascii="Arial" w:hAnsi="Arial" w:cs="Arial"/>
          <w:b w:val="0"/>
          <w:i w:val="0"/>
          <w:color w:val="auto"/>
          <w:sz w:val="14"/>
        </w:rPr>
        <w:t>Během přepravy má být zajištěna teplota +</w:t>
      </w:r>
      <w:smartTag w:uri="urn:schemas-microsoft-com:office:smarttags" w:element="metricconverter">
        <w:smartTagPr>
          <w:attr w:name="ProductID" w:val="2 °C"/>
        </w:smartTagPr>
        <w:r w:rsidRPr="00BA3CCA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Pr="00BA3CCA">
        <w:rPr>
          <w:rFonts w:ascii="Arial" w:hAnsi="Arial" w:cs="Arial"/>
          <w:b w:val="0"/>
          <w:i w:val="0"/>
          <w:color w:val="auto"/>
          <w:sz w:val="14"/>
        </w:rPr>
        <w:t xml:space="preserve"> až +10 °C (+1,6 °C až </w:t>
      </w:r>
      <w:r w:rsidR="00AF2A95">
        <w:rPr>
          <w:rFonts w:ascii="Arial" w:hAnsi="Arial" w:cs="Arial"/>
          <w:b w:val="0"/>
          <w:i w:val="0"/>
          <w:color w:val="auto"/>
          <w:sz w:val="14"/>
        </w:rPr>
        <w:t xml:space="preserve">   </w:t>
      </w:r>
      <w:r w:rsidRPr="00BA3CCA">
        <w:rPr>
          <w:rFonts w:ascii="Arial" w:hAnsi="Arial" w:cs="Arial"/>
          <w:b w:val="0"/>
          <w:i w:val="0"/>
          <w:color w:val="auto"/>
          <w:sz w:val="14"/>
        </w:rPr>
        <w:t>+10,4 °C) pokud je doba transportu maximálně 24 hodin, při době transportu &gt;24 hodin se erytrocytární TP transportují při teplotě +</w:t>
      </w:r>
      <w:smartTag w:uri="urn:schemas-microsoft-com:office:smarttags" w:element="metricconverter">
        <w:smartTagPr>
          <w:attr w:name="ProductID" w:val="2 °C"/>
        </w:smartTagPr>
        <w:r w:rsidRPr="00BA3CCA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Pr="00BA3CCA">
        <w:rPr>
          <w:rFonts w:ascii="Arial" w:hAnsi="Arial" w:cs="Arial"/>
          <w:b w:val="0"/>
          <w:i w:val="0"/>
          <w:color w:val="auto"/>
          <w:sz w:val="14"/>
        </w:rPr>
        <w:t xml:space="preserve"> až +6 °C (+1,6 °C až +6,4 °C).</w:t>
      </w:r>
    </w:p>
    <w:p w:rsidR="006C26C8" w:rsidRPr="001D5BBD" w:rsidRDefault="006C26C8">
      <w:pPr>
        <w:tabs>
          <w:tab w:val="left" w:pos="284"/>
        </w:tabs>
        <w:jc w:val="both"/>
        <w:rPr>
          <w:rFonts w:ascii="Arial" w:hAnsi="Arial"/>
          <w:b/>
          <w:sz w:val="12"/>
          <w:szCs w:val="12"/>
          <w:u w:val="single"/>
        </w:rPr>
      </w:pPr>
    </w:p>
    <w:p w:rsidR="006C26C8" w:rsidRDefault="006C26C8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6C26C8" w:rsidRPr="004D6841" w:rsidRDefault="00AF2A95" w:rsidP="004D6841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Srpen</w:t>
      </w:r>
      <w:r w:rsidR="006C26C8">
        <w:rPr>
          <w:rFonts w:ascii="Arial" w:hAnsi="Arial"/>
          <w:sz w:val="14"/>
        </w:rPr>
        <w:t xml:space="preserve"> 201</w:t>
      </w:r>
      <w:r w:rsidR="005F734D">
        <w:rPr>
          <w:rFonts w:ascii="Arial" w:hAnsi="Arial"/>
          <w:sz w:val="14"/>
        </w:rPr>
        <w:t>8</w:t>
      </w:r>
      <w:r w:rsidR="006C26C8">
        <w:rPr>
          <w:rFonts w:ascii="Arial" w:hAnsi="Arial"/>
          <w:sz w:val="14"/>
        </w:rPr>
        <w:t xml:space="preserve"> – verze č. 0</w:t>
      </w:r>
      <w:r w:rsidR="005F734D">
        <w:rPr>
          <w:rFonts w:ascii="Arial" w:hAnsi="Arial"/>
          <w:sz w:val="14"/>
        </w:rPr>
        <w:t>6</w:t>
      </w:r>
    </w:p>
    <w:sectPr w:rsidR="006C26C8" w:rsidRPr="004D6841" w:rsidSect="00040482">
      <w:footerReference w:type="default" r:id="rId9"/>
      <w:pgSz w:w="8392" w:h="11907" w:code="11"/>
      <w:pgMar w:top="426" w:right="879" w:bottom="510" w:left="851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8E" w:rsidRDefault="00AA418E">
      <w:r>
        <w:separator/>
      </w:r>
    </w:p>
  </w:endnote>
  <w:endnote w:type="continuationSeparator" w:id="0">
    <w:p w:rsidR="00AA418E" w:rsidRDefault="00AA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D4" w:rsidRDefault="00D102D4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040482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040482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8E" w:rsidRDefault="00AA418E">
      <w:r>
        <w:separator/>
      </w:r>
    </w:p>
  </w:footnote>
  <w:footnote w:type="continuationSeparator" w:id="0">
    <w:p w:rsidR="00AA418E" w:rsidRDefault="00AA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321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6248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D6169B7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22A0B3B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420563C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9B4FB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BAD7ED9"/>
    <w:multiLevelType w:val="singleLevel"/>
    <w:tmpl w:val="72E09F3C"/>
    <w:lvl w:ilvl="0"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CB512FE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7E06C2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53648BC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773245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7E1107C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87F3A02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9544740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D40467B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FAE1744"/>
    <w:multiLevelType w:val="hybridMultilevel"/>
    <w:tmpl w:val="69EE3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3BD3704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53E79F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5B54606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5C335313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48E61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68D3239D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7F1C35D8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9"/>
  </w:num>
  <w:num w:numId="8">
    <w:abstractNumId w:val="10"/>
  </w:num>
  <w:num w:numId="9">
    <w:abstractNumId w:val="14"/>
  </w:num>
  <w:num w:numId="10">
    <w:abstractNumId w:val="22"/>
  </w:num>
  <w:num w:numId="11">
    <w:abstractNumId w:val="17"/>
  </w:num>
  <w:num w:numId="12">
    <w:abstractNumId w:val="4"/>
  </w:num>
  <w:num w:numId="13">
    <w:abstractNumId w:val="1"/>
  </w:num>
  <w:num w:numId="14">
    <w:abstractNumId w:val="7"/>
  </w:num>
  <w:num w:numId="15">
    <w:abstractNumId w:val="21"/>
  </w:num>
  <w:num w:numId="16">
    <w:abstractNumId w:val="18"/>
  </w:num>
  <w:num w:numId="17">
    <w:abstractNumId w:val="15"/>
  </w:num>
  <w:num w:numId="18">
    <w:abstractNumId w:val="9"/>
  </w:num>
  <w:num w:numId="19">
    <w:abstractNumId w:val="3"/>
  </w:num>
  <w:num w:numId="20">
    <w:abstractNumId w:val="24"/>
  </w:num>
  <w:num w:numId="21">
    <w:abstractNumId w:val="20"/>
  </w:num>
  <w:num w:numId="22">
    <w:abstractNumId w:val="2"/>
  </w:num>
  <w:num w:numId="23">
    <w:abstractNumId w:val="23"/>
  </w:num>
  <w:num w:numId="24">
    <w:abstractNumId w:val="5"/>
  </w:num>
  <w:num w:numId="25">
    <w:abstractNumId w:val="12"/>
  </w:num>
  <w:num w:numId="26">
    <w:abstractNumId w:val="11"/>
  </w:num>
  <w:num w:numId="27">
    <w:abstractNumId w:val="13"/>
  </w:num>
  <w:num w:numId="28">
    <w:abstractNumId w:val="6"/>
  </w:num>
  <w:num w:numId="29">
    <w:abstractNumId w:val="8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109"/>
    <w:rsid w:val="00040482"/>
    <w:rsid w:val="00046A65"/>
    <w:rsid w:val="00046B9C"/>
    <w:rsid w:val="000661BB"/>
    <w:rsid w:val="000D3F56"/>
    <w:rsid w:val="000D7CD7"/>
    <w:rsid w:val="001652DA"/>
    <w:rsid w:val="001A2297"/>
    <w:rsid w:val="001C2E30"/>
    <w:rsid w:val="001D5BBD"/>
    <w:rsid w:val="0020181D"/>
    <w:rsid w:val="00254657"/>
    <w:rsid w:val="002935D9"/>
    <w:rsid w:val="0032151F"/>
    <w:rsid w:val="00326FDE"/>
    <w:rsid w:val="00334B9C"/>
    <w:rsid w:val="00353951"/>
    <w:rsid w:val="004C678A"/>
    <w:rsid w:val="004D6841"/>
    <w:rsid w:val="00526E70"/>
    <w:rsid w:val="005605B9"/>
    <w:rsid w:val="005F734D"/>
    <w:rsid w:val="00641A8D"/>
    <w:rsid w:val="00666867"/>
    <w:rsid w:val="00692025"/>
    <w:rsid w:val="006C26C8"/>
    <w:rsid w:val="007056D8"/>
    <w:rsid w:val="0072610F"/>
    <w:rsid w:val="00766262"/>
    <w:rsid w:val="00770803"/>
    <w:rsid w:val="00786656"/>
    <w:rsid w:val="007B1111"/>
    <w:rsid w:val="007D1548"/>
    <w:rsid w:val="007E2489"/>
    <w:rsid w:val="00815F6B"/>
    <w:rsid w:val="008259D3"/>
    <w:rsid w:val="008B7F80"/>
    <w:rsid w:val="008E63FA"/>
    <w:rsid w:val="00901DBD"/>
    <w:rsid w:val="00A325DB"/>
    <w:rsid w:val="00A61EDF"/>
    <w:rsid w:val="00AA418E"/>
    <w:rsid w:val="00AB7991"/>
    <w:rsid w:val="00AD1EE4"/>
    <w:rsid w:val="00AF2A95"/>
    <w:rsid w:val="00B13829"/>
    <w:rsid w:val="00C91502"/>
    <w:rsid w:val="00CA1182"/>
    <w:rsid w:val="00D102D4"/>
    <w:rsid w:val="00D601DC"/>
    <w:rsid w:val="00D711D1"/>
    <w:rsid w:val="00DD00A8"/>
    <w:rsid w:val="00E4669E"/>
    <w:rsid w:val="00E47285"/>
    <w:rsid w:val="00E66E9A"/>
    <w:rsid w:val="00E805C3"/>
    <w:rsid w:val="00F82109"/>
    <w:rsid w:val="00F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6B60A3-CD1D-46D0-904D-F00E567A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1DC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601DC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F73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D601DC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138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B13829"/>
    <w:rPr>
      <w:rFonts w:ascii="Calibri" w:hAnsi="Calibr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D601DC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13829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8259D3"/>
    <w:pPr>
      <w:numPr>
        <w:numId w:val="28"/>
      </w:numPr>
      <w:tabs>
        <w:tab w:val="clear" w:pos="720"/>
        <w:tab w:val="num" w:pos="284"/>
      </w:tabs>
      <w:ind w:left="284" w:hanging="284"/>
      <w:jc w:val="both"/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D601DC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3829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D601DC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B13829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D601DC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13829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D601DC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13829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D601DC"/>
    <w:pPr>
      <w:jc w:val="both"/>
    </w:pPr>
    <w:rPr>
      <w:rFonts w:ascii="Arial" w:hAnsi="Arial"/>
      <w:sz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13829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601DC"/>
    <w:rPr>
      <w:rFonts w:ascii="Arial" w:hAnsi="Arial"/>
      <w:sz w:val="1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13829"/>
    <w:rPr>
      <w:rFonts w:cs="Times New Roman"/>
    </w:rPr>
  </w:style>
  <w:style w:type="paragraph" w:styleId="Zhlav">
    <w:name w:val="header"/>
    <w:basedOn w:val="Normln"/>
    <w:link w:val="ZhlavChar"/>
    <w:uiPriority w:val="99"/>
    <w:rsid w:val="00D601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13829"/>
    <w:rPr>
      <w:rFonts w:cs="Times New Roman"/>
    </w:rPr>
  </w:style>
  <w:style w:type="paragraph" w:styleId="Zpat">
    <w:name w:val="footer"/>
    <w:basedOn w:val="Normln"/>
    <w:link w:val="ZpatChar"/>
    <w:uiPriority w:val="99"/>
    <w:rsid w:val="00D601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13829"/>
    <w:rPr>
      <w:rFonts w:cs="Times New Roman"/>
    </w:rPr>
  </w:style>
  <w:style w:type="character" w:styleId="slostrnky">
    <w:name w:val="page number"/>
    <w:basedOn w:val="Standardnpsmoodstavce"/>
    <w:uiPriority w:val="99"/>
    <w:rsid w:val="00D601DC"/>
    <w:rPr>
      <w:rFonts w:cs="Times New Roman"/>
    </w:rPr>
  </w:style>
  <w:style w:type="character" w:customStyle="1" w:styleId="Nadpis4Char">
    <w:name w:val="Nadpis 4 Char"/>
    <w:basedOn w:val="Standardnpsmoodstavce"/>
    <w:link w:val="Nadpis4"/>
    <w:semiHidden/>
    <w:rsid w:val="005F734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4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76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7065-28ED-4CD9-B6EE-A486A33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949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Příb</vt:lpstr>
    </vt:vector>
  </TitlesOfParts>
  <Company>FN Olomouc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</dc:title>
  <dc:creator>FTO</dc:creator>
  <cp:lastModifiedBy>Hrabálek Petr, Ing.</cp:lastModifiedBy>
  <cp:revision>4</cp:revision>
  <cp:lastPrinted>2020-04-16T09:34:00Z</cp:lastPrinted>
  <dcterms:created xsi:type="dcterms:W3CDTF">2018-08-28T12:12:00Z</dcterms:created>
  <dcterms:modified xsi:type="dcterms:W3CDTF">2020-04-16T09:34:00Z</dcterms:modified>
</cp:coreProperties>
</file>