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CD" w:rsidRPr="00F95BE8" w:rsidRDefault="0084621A">
      <w:pPr>
        <w:pStyle w:val="Nzev"/>
        <w:jc w:val="both"/>
        <w:rPr>
          <w:rFonts w:ascii="Arial Black" w:hAnsi="Arial Black"/>
          <w:b w:val="0"/>
          <w:sz w:val="16"/>
          <w:szCs w:val="16"/>
          <w:u w:val="thick"/>
        </w:rPr>
      </w:pPr>
      <w:r>
        <w:rPr>
          <w:noProof/>
        </w:rPr>
        <w:drawing>
          <wp:inline distT="0" distB="0" distL="0" distR="0" wp14:anchorId="66E14E27" wp14:editId="0721C201">
            <wp:extent cx="1376363" cy="352425"/>
            <wp:effectExtent l="0" t="0" r="0" b="0"/>
            <wp:docPr id="1" name="obrázek 2" descr="O:\- O R G A N I Z A Č N Í   N O R M Y\PODKLADY PRO ON - logo\FNOL_logo_pozitiv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O:\- O R G A N I Z A Č N Í   N O R M Y\PODKLADY PRO ON - logo\FNOL_logo_pozitiv_CMYK.jp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36" cy="35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CD" w:rsidRDefault="00E22ECD">
      <w:pPr>
        <w:pStyle w:val="Nzev"/>
        <w:jc w:val="both"/>
        <w:rPr>
          <w:rFonts w:ascii="Arial" w:hAnsi="Arial"/>
          <w:i/>
          <w:sz w:val="16"/>
          <w:u w:val="thick"/>
        </w:rPr>
      </w:pPr>
      <w:r>
        <w:rPr>
          <w:rFonts w:ascii="Arial Black" w:hAnsi="Arial Black"/>
          <w:b w:val="0"/>
          <w:sz w:val="20"/>
          <w:u w:val="thick"/>
        </w:rPr>
        <w:t>Informace o transfuzním přípravku</w:t>
      </w:r>
      <w:r>
        <w:rPr>
          <w:sz w:val="16"/>
          <w:u w:val="thick"/>
        </w:rPr>
        <w:t xml:space="preserve"> – </w:t>
      </w:r>
      <w:r>
        <w:rPr>
          <w:rFonts w:ascii="Arial Black" w:hAnsi="Arial Black"/>
          <w:b w:val="0"/>
          <w:sz w:val="18"/>
          <w:u w:val="thick"/>
        </w:rPr>
        <w:t>ČTĚTE POZORNĚ!</w:t>
      </w:r>
    </w:p>
    <w:p w:rsidR="00E22ECD" w:rsidRDefault="00E22ECD">
      <w:pPr>
        <w:jc w:val="both"/>
        <w:rPr>
          <w:b/>
          <w:sz w:val="16"/>
        </w:rPr>
      </w:pPr>
    </w:p>
    <w:p w:rsidR="00E22ECD" w:rsidRDefault="00E22ECD">
      <w:pPr>
        <w:pStyle w:val="Zkladntext"/>
        <w:jc w:val="both"/>
        <w:rPr>
          <w:spacing w:val="8"/>
          <w:sz w:val="16"/>
          <w:u w:val="single"/>
        </w:rPr>
      </w:pPr>
      <w:r>
        <w:rPr>
          <w:rFonts w:ascii="Arial Narrow" w:hAnsi="Arial Narrow"/>
          <w:spacing w:val="8"/>
          <w:sz w:val="16"/>
        </w:rPr>
        <w:t xml:space="preserve">Transfuzní přípravek, který jste obdrželi, byl vyroben za dodržení všech definovaných postupů pro výrobu, kontrolu a zabezpečování jakosti. K jeho znehodnocení může dojít </w:t>
      </w:r>
      <w:r>
        <w:rPr>
          <w:rFonts w:ascii="Arial Narrow" w:hAnsi="Arial Narrow"/>
          <w:spacing w:val="8"/>
          <w:sz w:val="16"/>
          <w:u w:val="single"/>
        </w:rPr>
        <w:t>nesprávným postupem při transportu, skladování, manipulaci nebo aplikaci</w:t>
      </w:r>
      <w:r>
        <w:rPr>
          <w:rFonts w:ascii="Arial Narrow" w:hAnsi="Arial Narrow"/>
          <w:spacing w:val="8"/>
          <w:sz w:val="16"/>
        </w:rPr>
        <w:t xml:space="preserve">. Žádáme Vás, abyste dodrželi následující pokyny. Případné doplňující  informace Vám poskytneme na telefonním čísle </w:t>
      </w:r>
      <w:r>
        <w:rPr>
          <w:rFonts w:ascii="Arial Narrow" w:hAnsi="Arial Narrow"/>
          <w:spacing w:val="8"/>
          <w:sz w:val="16"/>
          <w:u w:val="single"/>
        </w:rPr>
        <w:t>588 442 268</w:t>
      </w:r>
      <w:r>
        <w:rPr>
          <w:spacing w:val="8"/>
          <w:sz w:val="16"/>
          <w:u w:val="single"/>
        </w:rPr>
        <w:t>.</w:t>
      </w:r>
    </w:p>
    <w:p w:rsidR="00E22ECD" w:rsidRPr="00702E86" w:rsidRDefault="00E22ECD">
      <w:pPr>
        <w:pStyle w:val="Zkladntext"/>
        <w:jc w:val="both"/>
        <w:rPr>
          <w:sz w:val="4"/>
          <w:szCs w:val="4"/>
        </w:rPr>
      </w:pPr>
      <w:r w:rsidRPr="00702E86">
        <w:rPr>
          <w:sz w:val="4"/>
          <w:szCs w:val="4"/>
        </w:rPr>
        <w:t xml:space="preserve">                       </w:t>
      </w:r>
    </w:p>
    <w:p w:rsidR="00E22ECD" w:rsidRDefault="00E22ECD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b w:val="0"/>
          <w:color w:val="auto"/>
          <w:sz w:val="16"/>
          <w:u w:val="single"/>
        </w:rPr>
        <w:t>Název</w:t>
      </w:r>
      <w:r>
        <w:rPr>
          <w:b w:val="0"/>
          <w:color w:val="auto"/>
          <w:sz w:val="16"/>
        </w:rPr>
        <w:t xml:space="preserve">:       </w:t>
      </w:r>
      <w:r>
        <w:rPr>
          <w:color w:val="auto"/>
          <w:sz w:val="18"/>
        </w:rPr>
        <w:t xml:space="preserve">Erytrocyty Z AFERÉZY RESUSPENDOVANÉ </w:t>
      </w:r>
    </w:p>
    <w:p w:rsidR="00E22ECD" w:rsidRDefault="00E22ECD">
      <w:pPr>
        <w:pStyle w:val="Nadpis6"/>
        <w:tabs>
          <w:tab w:val="left" w:pos="851"/>
        </w:tabs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                 DELEUKOTIZOVANÉ</w:t>
      </w:r>
    </w:p>
    <w:p w:rsidR="00E22ECD" w:rsidRDefault="00E22ECD">
      <w:pPr>
        <w:pStyle w:val="Nadpis6"/>
        <w:tabs>
          <w:tab w:val="left" w:pos="851"/>
        </w:tabs>
        <w:jc w:val="both"/>
        <w:rPr>
          <w:color w:val="auto"/>
          <w:sz w:val="16"/>
          <w:u w:val="single"/>
        </w:rPr>
      </w:pPr>
      <w:r>
        <w:rPr>
          <w:b w:val="0"/>
          <w:color w:val="auto"/>
          <w:sz w:val="16"/>
          <w:u w:val="single"/>
        </w:rPr>
        <w:t>Zkratka</w:t>
      </w:r>
      <w:r>
        <w:rPr>
          <w:color w:val="auto"/>
          <w:sz w:val="16"/>
        </w:rPr>
        <w:t xml:space="preserve">:  </w:t>
      </w:r>
      <w:r>
        <w:rPr>
          <w:color w:val="auto"/>
          <w:sz w:val="18"/>
        </w:rPr>
        <w:t>EARD</w:t>
      </w:r>
    </w:p>
    <w:p w:rsidR="00E22ECD" w:rsidRPr="00702E86" w:rsidRDefault="00E22ECD">
      <w:pPr>
        <w:jc w:val="both"/>
        <w:rPr>
          <w:sz w:val="10"/>
          <w:szCs w:val="10"/>
        </w:rPr>
      </w:pP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Výrobce:</w:t>
      </w: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Transfuzní oddělení Fakultní nemocnice Olomouc, I. P. Pavlova 185/6, 779 00  Olomouc – C 2059.</w:t>
      </w:r>
    </w:p>
    <w:p w:rsidR="00E22ECD" w:rsidRDefault="00E22ECD">
      <w:pPr>
        <w:jc w:val="both"/>
        <w:rPr>
          <w:rFonts w:ascii="Arial" w:hAnsi="Arial"/>
          <w:sz w:val="14"/>
        </w:rPr>
      </w:pP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 xml:space="preserve">Složení: </w:t>
      </w:r>
    </w:p>
    <w:p w:rsidR="00E22ECD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koncentrát erytrocytů,</w:t>
      </w:r>
    </w:p>
    <w:p w:rsidR="00E22ECD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antikoagulační roztok CPD 50  nebo ACD-A,</w:t>
      </w:r>
    </w:p>
    <w:p w:rsidR="00E22ECD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resuspenzní roztok SAGM 100 ml,</w:t>
      </w:r>
    </w:p>
    <w:p w:rsidR="00E22ECD" w:rsidRDefault="00E22ECD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>hematokrit: 0,50 – 0,70,</w:t>
      </w:r>
    </w:p>
    <w:p w:rsidR="00E22ECD" w:rsidRDefault="00E22ECD">
      <w:pPr>
        <w:pStyle w:val="Zkladntextodsazen3"/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>hemoglobin: minimálně 40 g/T.U.,</w:t>
      </w:r>
    </w:p>
    <w:p w:rsidR="00E22ECD" w:rsidRPr="00034151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leukocyty: nižší než 1,0 x 10</w:t>
      </w:r>
      <w:r>
        <w:rPr>
          <w:rFonts w:ascii="Arial" w:hAnsi="Arial"/>
          <w:sz w:val="14"/>
          <w:vertAlign w:val="superscript"/>
        </w:rPr>
        <w:t>6</w:t>
      </w:r>
      <w:r>
        <w:rPr>
          <w:rFonts w:ascii="Arial" w:hAnsi="Arial"/>
          <w:sz w:val="14"/>
        </w:rPr>
        <w:t>/T.U.</w:t>
      </w:r>
      <w:r>
        <w:rPr>
          <w:rFonts w:ascii="Arial" w:hAnsi="Arial"/>
          <w:sz w:val="14"/>
          <w:vertAlign w:val="superscript"/>
        </w:rPr>
        <w:t>,</w:t>
      </w:r>
    </w:p>
    <w:p w:rsidR="00E22ECD" w:rsidRDefault="00E22EC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sz w:val="14"/>
        </w:rPr>
        <w:t>hemolýza na konci doby použitelnosti méně než 0,8% erytrocytové hmoty.</w:t>
      </w: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</w:p>
    <w:p w:rsidR="00E22ECD" w:rsidRDefault="00E22ECD">
      <w:pPr>
        <w:jc w:val="both"/>
        <w:rPr>
          <w:rFonts w:ascii="Arial" w:hAnsi="Arial"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Indikační skupina:</w:t>
      </w:r>
    </w:p>
    <w:p w:rsidR="00E22ECD" w:rsidRDefault="00E22ECD">
      <w:pPr>
        <w:pStyle w:val="Zkladntext3"/>
        <w:rPr>
          <w:sz w:val="12"/>
          <w:szCs w:val="12"/>
        </w:rPr>
      </w:pPr>
      <w:r>
        <w:t>Transfuzní přípravek, určen k intravenózní aplikaci.</w:t>
      </w:r>
    </w:p>
    <w:p w:rsidR="00E22ECD" w:rsidRPr="00F95BE8" w:rsidRDefault="00E22ECD">
      <w:pPr>
        <w:pStyle w:val="Zkladntext3"/>
        <w:rPr>
          <w:sz w:val="12"/>
          <w:szCs w:val="12"/>
        </w:rPr>
      </w:pPr>
    </w:p>
    <w:p w:rsidR="00E22ECD" w:rsidRDefault="00E22ECD" w:rsidP="001F4BF5">
      <w:pPr>
        <w:rPr>
          <w:rFonts w:ascii="Arial" w:hAnsi="Arial" w:cs="Arial"/>
          <w:sz w:val="14"/>
        </w:rPr>
      </w:pPr>
      <w:r w:rsidRPr="001F4BF5">
        <w:rPr>
          <w:rFonts w:ascii="Arial" w:hAnsi="Arial" w:cs="Arial"/>
          <w:b/>
          <w:sz w:val="14"/>
          <w:u w:val="single"/>
        </w:rPr>
        <w:t>Kód:</w:t>
      </w:r>
      <w:r>
        <w:rPr>
          <w:rFonts w:ascii="Arial" w:hAnsi="Arial" w:cs="Arial"/>
          <w:b/>
          <w:sz w:val="14"/>
        </w:rPr>
        <w:t xml:space="preserve"> </w:t>
      </w:r>
      <w:r w:rsidRPr="001F4BF5">
        <w:rPr>
          <w:rFonts w:ascii="Arial" w:hAnsi="Arial" w:cs="Arial"/>
          <w:sz w:val="14"/>
        </w:rPr>
        <w:t>0007964</w:t>
      </w:r>
    </w:p>
    <w:p w:rsidR="00E22ECD" w:rsidRPr="00F95BE8" w:rsidRDefault="00E22ECD" w:rsidP="001F4BF5">
      <w:pPr>
        <w:rPr>
          <w:rFonts w:ascii="Arial" w:hAnsi="Arial" w:cs="Arial"/>
          <w:b/>
          <w:sz w:val="12"/>
          <w:szCs w:val="12"/>
        </w:rPr>
      </w:pPr>
    </w:p>
    <w:p w:rsidR="00E22ECD" w:rsidRDefault="00E22ECD">
      <w:pPr>
        <w:jc w:val="both"/>
        <w:rPr>
          <w:rFonts w:ascii="Arial" w:hAnsi="Arial"/>
          <w:snapToGrid w:val="0"/>
          <w:sz w:val="14"/>
        </w:rPr>
      </w:pPr>
      <w:r>
        <w:rPr>
          <w:rFonts w:ascii="Arial" w:hAnsi="Arial"/>
          <w:b/>
          <w:sz w:val="14"/>
          <w:u w:val="single"/>
        </w:rPr>
        <w:t>Charakteristika:</w:t>
      </w:r>
    </w:p>
    <w:p w:rsidR="00E22ECD" w:rsidRDefault="00E22ECD">
      <w:pPr>
        <w:pStyle w:val="Zkladntextodsazen"/>
        <w:jc w:val="both"/>
      </w:pPr>
      <w:r>
        <w:t>EARD je koncentrát erytrocytů získaný od jednoho dárce erytrocytaferézou (= odběr pomocí přístroje pro separaci krevních buněk), a to buď in-line filtrací při odběru nebo dodatečnou filtrací již skladovaných erytrocytů z aferézy v čase potřeby. Tato metoda umožňuje od vybraných dárců odebrat jednorázově 2 T.U. erytrocytů, tím tak snižovat riziko HLA imunizace a efektivně léčit pacienty již aloimunizované. Snížením počtu  odebraných  dárců   může  být  u  polytransfundovaných  pacientů  sníženo  také  riziko  přenosu  virů i aloimunizace erytrocytovými antigeny. Odstranění buffy-coatu (= vrstvy leukocytů a trombocytů) během zpracování při odběru snižuje tvorbu mikroagregátů.</w:t>
      </w:r>
    </w:p>
    <w:p w:rsidR="00E22ECD" w:rsidRPr="00F95BE8" w:rsidRDefault="00E22ECD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2"/>
          <w:szCs w:val="12"/>
          <w:u w:val="single"/>
        </w:rPr>
      </w:pPr>
    </w:p>
    <w:p w:rsidR="00E22ECD" w:rsidRPr="009A3090" w:rsidRDefault="00E22ECD">
      <w:pPr>
        <w:tabs>
          <w:tab w:val="left" w:pos="284"/>
          <w:tab w:val="left" w:pos="709"/>
        </w:tabs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  <w:u w:val="single"/>
        </w:rPr>
        <w:t>Objem:</w:t>
      </w:r>
      <w:r>
        <w:rPr>
          <w:rFonts w:ascii="Arial" w:hAnsi="Arial"/>
          <w:b/>
          <w:sz w:val="14"/>
        </w:rPr>
        <w:t xml:space="preserve">   </w:t>
      </w:r>
      <w:r>
        <w:rPr>
          <w:rFonts w:ascii="Arial" w:hAnsi="Arial"/>
          <w:sz w:val="14"/>
        </w:rPr>
        <w:t>1 T.U.: minimálně 2</w:t>
      </w:r>
      <w:r w:rsidR="008A319A">
        <w:rPr>
          <w:rFonts w:ascii="Arial" w:hAnsi="Arial"/>
          <w:sz w:val="14"/>
        </w:rPr>
        <w:t>1</w:t>
      </w:r>
      <w:r>
        <w:rPr>
          <w:rFonts w:ascii="Arial" w:hAnsi="Arial"/>
          <w:sz w:val="14"/>
        </w:rPr>
        <w:t>5 ml</w:t>
      </w:r>
    </w:p>
    <w:p w:rsidR="00E22ECD" w:rsidRPr="00F95BE8" w:rsidRDefault="00E22ECD">
      <w:pPr>
        <w:tabs>
          <w:tab w:val="left" w:pos="284"/>
        </w:tabs>
        <w:jc w:val="both"/>
        <w:rPr>
          <w:rFonts w:ascii="Arial" w:hAnsi="Arial"/>
          <w:sz w:val="12"/>
          <w:szCs w:val="12"/>
        </w:rPr>
      </w:pPr>
    </w:p>
    <w:p w:rsidR="00E22ECD" w:rsidRDefault="00E22ECD">
      <w:pPr>
        <w:pStyle w:val="Zkladntextodsazen"/>
        <w:jc w:val="both"/>
        <w:rPr>
          <w:b/>
          <w:u w:val="single"/>
        </w:rPr>
      </w:pPr>
      <w:r>
        <w:rPr>
          <w:b/>
          <w:u w:val="single"/>
        </w:rPr>
        <w:t xml:space="preserve">Indikace:  </w:t>
      </w:r>
    </w:p>
    <w:p w:rsidR="00E22ECD" w:rsidRDefault="00E22ECD">
      <w:pPr>
        <w:pStyle w:val="Zkladntextodsazen"/>
        <w:jc w:val="both"/>
      </w:pPr>
      <w:r>
        <w:t>Léčba anémie, náhrada krevní ztráty, zejména: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 xml:space="preserve">u pacientů se vzácnou kombinací erytrocytových antigenů (od  dárce stejného antigenního složení získáme </w:t>
      </w:r>
      <w:r w:rsidR="00702E86">
        <w:t xml:space="preserve"> </w:t>
      </w:r>
      <w:r>
        <w:t>při tomto druhu odběru 2 T.U.),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pacientů s opakovanými nehemolytickými reakcemi po transfuzi,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pacientů s prokázanými cytotoxickými HLA protilátkami a erytrocytovými protilátkami,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 xml:space="preserve">u pacientů  chronicky  substituovaných  erytrocyty  (menší  riziko  aloimunizace  při  možnosti  získání 2 T.U. od jednoho dárce), 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před a po transplantacích a u ostatních imunosuprimovaných pacientů,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nedonošených dětí a novorozenců,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intrauterinních transfuzí,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těhotných žen,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u dětí po operacích srdce a velkých cév,</w:t>
      </w:r>
    </w:p>
    <w:p w:rsidR="00E22ECD" w:rsidRDefault="00E22ECD">
      <w:pPr>
        <w:pStyle w:val="Zkladntextodsazen"/>
        <w:numPr>
          <w:ilvl w:val="0"/>
          <w:numId w:val="24"/>
        </w:numPr>
        <w:tabs>
          <w:tab w:val="clear" w:pos="720"/>
          <w:tab w:val="num" w:pos="360"/>
        </w:tabs>
        <w:ind w:left="360"/>
        <w:jc w:val="both"/>
      </w:pPr>
      <w:r>
        <w:t>tento přípravek lze podat jako vhodnou alternativu CMV negativní krve pro prevenci přenosu CMV.</w:t>
      </w:r>
    </w:p>
    <w:p w:rsidR="00E22ECD" w:rsidRPr="00F95BE8" w:rsidRDefault="00E22ECD">
      <w:pPr>
        <w:pStyle w:val="Zkladntextodsazen2"/>
        <w:tabs>
          <w:tab w:val="clear" w:pos="284"/>
        </w:tabs>
        <w:ind w:left="0"/>
        <w:jc w:val="both"/>
        <w:rPr>
          <w:b/>
          <w:sz w:val="12"/>
          <w:szCs w:val="12"/>
          <w:u w:val="single"/>
        </w:rPr>
      </w:pPr>
    </w:p>
    <w:p w:rsidR="00E22ECD" w:rsidRDefault="00E22ECD">
      <w:pPr>
        <w:pStyle w:val="Zkladntextodsazen2"/>
        <w:tabs>
          <w:tab w:val="clear" w:pos="284"/>
        </w:tabs>
        <w:ind w:left="0"/>
        <w:jc w:val="both"/>
        <w:rPr>
          <w:b/>
          <w:u w:val="single"/>
        </w:rPr>
      </w:pPr>
      <w:r>
        <w:rPr>
          <w:b/>
          <w:u w:val="single"/>
        </w:rPr>
        <w:t>Kontraindikace:</w:t>
      </w:r>
    </w:p>
    <w:p w:rsidR="00E22ECD" w:rsidRDefault="00E22EC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relativní hypervolémie,</w:t>
      </w:r>
    </w:p>
    <w:p w:rsidR="00E22ECD" w:rsidRPr="00F95BE8" w:rsidRDefault="00E22ECD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 případech, kde lze dosáhnout normalizace krevního obrazu jiným způsobem léčby.</w:t>
      </w:r>
    </w:p>
    <w:p w:rsidR="00E22ECD" w:rsidRPr="00F95BE8" w:rsidRDefault="00E22ECD" w:rsidP="00F95BE8">
      <w:pPr>
        <w:jc w:val="both"/>
        <w:rPr>
          <w:rFonts w:ascii="Arial" w:hAnsi="Arial"/>
          <w:sz w:val="12"/>
          <w:szCs w:val="12"/>
        </w:rPr>
      </w:pP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Nežádoucí účinky: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oběhové přetížení,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hemolytická potransfuzní reakce,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lastRenderedPageBreak/>
        <w:t>nehemolytické potransfuzní reakce (hlavně zimnice, horečka, kopřivka), ale vzácněji než po transfuzi nedeleukotizovaných erytrocytových přípravků,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aloimunizace proti HLA a erytrocytovým antigenům,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riziko infekcí přenosných krví (hepatitidy, HIV, syfilis) je možné bez ohledu na pečlivý výběr dárců </w:t>
      </w:r>
      <w:r w:rsidR="00702E86">
        <w:rPr>
          <w:rFonts w:ascii="Arial" w:hAnsi="Arial"/>
          <w:sz w:val="14"/>
        </w:rPr>
        <w:t xml:space="preserve">                    </w:t>
      </w:r>
      <w:r>
        <w:rPr>
          <w:rFonts w:ascii="Arial" w:hAnsi="Arial"/>
          <w:sz w:val="14"/>
        </w:rPr>
        <w:t>a screeningová vyšetření,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vzácně přenos protozoí (např. malárie),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sepse způsobená náhodnou bakteriální kontaminací,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biochemické odchylky při masivní transfuzi, např. hyperkalémie,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potransfuzní purpura,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akutní poškození plic vyvolané transfuzí (TRALI),</w:t>
      </w:r>
    </w:p>
    <w:p w:rsidR="00E22ECD" w:rsidRDefault="00E22ECD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přenos jiných patogenů, které se screeningově netestují nebo nebyly dosud rozpoznány.</w:t>
      </w: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Interakce:</w:t>
      </w: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Do vaku nebo transfuzní soupravy se nesmí přidávat žádné roztoky, ani roztoky jiných léčiv.</w:t>
      </w:r>
    </w:p>
    <w:p w:rsidR="00E22ECD" w:rsidRDefault="00E22ECD">
      <w:pPr>
        <w:jc w:val="both"/>
        <w:rPr>
          <w:rFonts w:ascii="Arial" w:hAnsi="Arial"/>
          <w:sz w:val="14"/>
        </w:rPr>
      </w:pP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>Dávkování a způsob užití:</w:t>
      </w:r>
    </w:p>
    <w:p w:rsidR="00E22ECD" w:rsidRDefault="00E22ECD">
      <w:pPr>
        <w:pStyle w:val="Zkladntext3"/>
      </w:pPr>
      <w:r>
        <w:t>Dávkování určuje lékař. Obvykle se krevní transfuze podává při klinických známkách nedostatečného sycení kyslíkem. Jedna transfuzní jednotka EARD zlepšuje hemoglobin u dospělého přibližně o 7 g/l - 10 g/l a hematokrit        o 0,2. Při náhlém krvácení se nejdříve podávají krystaloidy, koloidy a krevní transfuze až následně.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 xml:space="preserve">Přípravek se podává intravenózně transfuzním setem s filtrem o velikosti pórů 170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 xml:space="preserve">m až 200 </w:t>
      </w:r>
      <w:r>
        <w:rPr>
          <w:rFonts w:ascii="Arial" w:hAnsi="Arial"/>
          <w:sz w:val="14"/>
          <w:szCs w:val="14"/>
        </w:rPr>
        <w:sym w:font="Symbol" w:char="F06D"/>
      </w:r>
      <w:r>
        <w:rPr>
          <w:rFonts w:ascii="Arial" w:hAnsi="Arial"/>
          <w:sz w:val="14"/>
        </w:rPr>
        <w:t>m.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vnějšího vzhledu přípravku se zaměřením na možnou hemolýzu, sraženiny a neporušenost obalu.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Kontrola dokumentace, čísla a typu transfuzního přípravku, doby použitelnosti, skupiny v AB0 a RhD systému.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Provést povinnou zajišťovací zkoušku.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Před a po transfuzi zkontrolovat u pacienta TK,  puls, tělesnou teplotu.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Při začátku transfuze provést biologickou zkoušku dle klinické potřeby.</w:t>
      </w:r>
    </w:p>
    <w:p w:rsidR="00E22ECD" w:rsidRDefault="00E22ECD">
      <w:pPr>
        <w:pStyle w:val="Seznamsodrkami"/>
        <w:numPr>
          <w:ilvl w:val="0"/>
          <w:numId w:val="6"/>
        </w:numPr>
        <w:rPr>
          <w:rFonts w:ascii="Arial" w:hAnsi="Arial"/>
          <w:b/>
          <w:sz w:val="14"/>
          <w:u w:val="single"/>
        </w:rPr>
      </w:pPr>
      <w:r>
        <w:rPr>
          <w:rFonts w:ascii="Arial" w:hAnsi="Arial"/>
          <w:sz w:val="14"/>
        </w:rPr>
        <w:t>Po ukončení transfuze ponechat zbytek přípravku (nejméně 10 ml) ve vaku na dobu 24 hodin v chladničce.</w:t>
      </w:r>
    </w:p>
    <w:p w:rsidR="00E22ECD" w:rsidRDefault="00E22ECD">
      <w:pPr>
        <w:pStyle w:val="Seznamsodrkami"/>
        <w:numPr>
          <w:ilvl w:val="0"/>
          <w:numId w:val="0"/>
        </w:numPr>
        <w:rPr>
          <w:rFonts w:ascii="Arial" w:hAnsi="Arial"/>
          <w:sz w:val="14"/>
        </w:rPr>
      </w:pPr>
    </w:p>
    <w:p w:rsidR="00E22ECD" w:rsidRDefault="00E22ECD">
      <w:pPr>
        <w:pStyle w:val="Zkladntextodsazen"/>
        <w:jc w:val="both"/>
        <w:rPr>
          <w:b/>
          <w:u w:val="single"/>
        </w:rPr>
      </w:pPr>
      <w:r>
        <w:rPr>
          <w:b/>
          <w:u w:val="single"/>
        </w:rPr>
        <w:t>Upozornění:</w:t>
      </w:r>
    </w:p>
    <w:p w:rsidR="00E22ECD" w:rsidRDefault="00E22ECD" w:rsidP="00AD4FF7">
      <w:pPr>
        <w:pStyle w:val="Zkladntextodsazen"/>
        <w:numPr>
          <w:ilvl w:val="0"/>
          <w:numId w:val="25"/>
        </w:numPr>
        <w:tabs>
          <w:tab w:val="num" w:pos="360"/>
        </w:tabs>
        <w:ind w:left="360"/>
      </w:pPr>
      <w:r>
        <w:t>Kompatibilita přípravku s uvažovaným příjemcem se musí ověřit povinným předtransfuzním vyšetřením. Toto vyšetření platí pouze 72 hodin, pak je nutno vyšetření zopakovat.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</w:pPr>
      <w:r>
        <w:t>O transfuzi musí být proveden záznam ve zdravotnické dokumentaci pacienta, který musí obsahovat kompletní identifikaci příjemce (jméno, rodné číslo) a kompletní identifikaci přípravku.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</w:pPr>
      <w:r>
        <w:t>Přípravek lze vrátit zpět na transfuzní oddělení (krevní banku) pouze výjimečně, a to po předchozí domluvě.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</w:pPr>
      <w:r>
        <w:t>Pokud nebyl přípravek aplikován, musí být tato skutečnost písemně nahlášena transfuznímu oddělení (krevní bance) a zaznamenán údaj o naložení s ním.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</w:pPr>
      <w:r>
        <w:t>Při výskytu jakékoliv nežádoucí reakce během transfuze je třeba transfuzi OKAMŽITĚ PŘERUŠIT. Lékař vyplní formulář “Zpráva o nežádoucím účinku transfuze” a zajistí, aby se k formuláři přidal zbytek transfuzního přípravku s transfuzním setem a vzorkem krve pacienta odebraným po transfuzi (10 ml srážlivé krve) a odeslal zpět na transfuzní oddělení (krevní banku) za účelem imunologického vyšetření příčiny reakce. Zpráva musí obsahovat kompletní identifikaci přípravku a podrobný popis symptomů a klinických známek reakce.</w:t>
      </w:r>
      <w:r>
        <w:rPr>
          <w:sz w:val="16"/>
        </w:rPr>
        <w:t xml:space="preserve"> </w:t>
      </w:r>
    </w:p>
    <w:p w:rsidR="00E22ECD" w:rsidRDefault="00E22ECD" w:rsidP="00034151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  <w:rPr>
          <w:szCs w:val="14"/>
        </w:rPr>
      </w:pPr>
      <w:r>
        <w:rPr>
          <w:szCs w:val="14"/>
        </w:rPr>
        <w:t xml:space="preserve">Hlásit je třeba nežádoucí reakce související s podáním transfuze, vzniklé během transfuze i po ní nebo podezření na ně. </w:t>
      </w:r>
    </w:p>
    <w:p w:rsidR="00E22ECD" w:rsidRPr="001F4BF5" w:rsidRDefault="00E22ECD" w:rsidP="001F4BF5">
      <w:pPr>
        <w:pStyle w:val="Zkladntextodsazen"/>
        <w:numPr>
          <w:ilvl w:val="0"/>
          <w:numId w:val="25"/>
        </w:numPr>
        <w:tabs>
          <w:tab w:val="num" w:pos="360"/>
        </w:tabs>
        <w:ind w:left="360"/>
        <w:jc w:val="both"/>
        <w:rPr>
          <w:szCs w:val="14"/>
        </w:rPr>
      </w:pPr>
      <w:r w:rsidRPr="001F4BF5">
        <w:rPr>
          <w:szCs w:val="14"/>
        </w:rPr>
        <w:t>Vyhláška o lidské krvi (č.</w:t>
      </w:r>
      <w:r>
        <w:rPr>
          <w:szCs w:val="14"/>
        </w:rPr>
        <w:t xml:space="preserve"> </w:t>
      </w:r>
      <w:r w:rsidRPr="001F4BF5">
        <w:rPr>
          <w:szCs w:val="14"/>
        </w:rPr>
        <w:t xml:space="preserve">143/2008 Sb., </w:t>
      </w:r>
      <w:r w:rsidRPr="001F4BF5">
        <w:rPr>
          <w:rFonts w:cs="Arial"/>
          <w:szCs w:val="14"/>
        </w:rPr>
        <w:t>§</w:t>
      </w:r>
      <w:r w:rsidRPr="001F4BF5">
        <w:rPr>
          <w:szCs w:val="14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1F4BF5">
          <w:rPr>
            <w:szCs w:val="14"/>
          </w:rPr>
          <w:t>1 a</w:t>
        </w:r>
      </w:smartTag>
      <w:r w:rsidRPr="001F4BF5">
        <w:rPr>
          <w:szCs w:val="14"/>
        </w:rPr>
        <w:t xml:space="preserve"> </w:t>
      </w:r>
      <w:r>
        <w:rPr>
          <w:rFonts w:cs="Arial"/>
          <w:szCs w:val="14"/>
        </w:rPr>
        <w:t>§</w:t>
      </w:r>
      <w:r>
        <w:rPr>
          <w:szCs w:val="14"/>
        </w:rPr>
        <w:t xml:space="preserve"> </w:t>
      </w:r>
      <w:r w:rsidRPr="001F4BF5">
        <w:rPr>
          <w:szCs w:val="14"/>
        </w:rPr>
        <w:t xml:space="preserve">9) z důvodu zajištění hemovigilance (definice viz zákon </w:t>
      </w:r>
      <w:r w:rsidR="00C10F9A">
        <w:rPr>
          <w:szCs w:val="14"/>
        </w:rPr>
        <w:t xml:space="preserve">           </w:t>
      </w:r>
      <w:r w:rsidRPr="001F4BF5">
        <w:rPr>
          <w:szCs w:val="14"/>
        </w:rPr>
        <w:t>o léčivech č.</w:t>
      </w:r>
      <w:r>
        <w:rPr>
          <w:szCs w:val="14"/>
        </w:rPr>
        <w:t xml:space="preserve"> </w:t>
      </w:r>
      <w:r w:rsidRPr="001F4BF5">
        <w:rPr>
          <w:szCs w:val="14"/>
        </w:rPr>
        <w:t xml:space="preserve">378/2007 Sb., </w:t>
      </w:r>
      <w:r w:rsidRPr="001F4BF5">
        <w:rPr>
          <w:rFonts w:cs="Arial"/>
          <w:szCs w:val="14"/>
        </w:rPr>
        <w:t xml:space="preserve">§ 3) ukládá zdravotnickému zařízení podávající transfuzi (lékař) povinnost oznámit na SÚKL závažnou nežádoucí reakci u příjemce nebo podezření na ni, přičemž se jedná o reakci, která </w:t>
      </w:r>
      <w:r w:rsidR="00C10F9A">
        <w:rPr>
          <w:rFonts w:cs="Arial"/>
          <w:szCs w:val="14"/>
        </w:rPr>
        <w:t xml:space="preserve">        </w:t>
      </w:r>
      <w:r w:rsidRPr="001F4BF5">
        <w:rPr>
          <w:rFonts w:cs="Arial"/>
          <w:szCs w:val="14"/>
        </w:rPr>
        <w:t>je pozorována během transfuze nebo po ni a souvisí s podáním transfuzního přípravku. Pro oznámení závažné nežádoucí rekce nebo podezření na ni se použije vzor oznámení uvedený v příloze č.</w:t>
      </w:r>
      <w:r>
        <w:rPr>
          <w:rFonts w:cs="Arial"/>
          <w:szCs w:val="14"/>
        </w:rPr>
        <w:t xml:space="preserve"> </w:t>
      </w:r>
      <w:r w:rsidRPr="001F4BF5">
        <w:rPr>
          <w:rFonts w:cs="Arial"/>
          <w:szCs w:val="14"/>
        </w:rPr>
        <w:t>5 části A vyhlášky nebo na www.sukl.cz.</w:t>
      </w:r>
    </w:p>
    <w:p w:rsidR="00E22ECD" w:rsidRPr="00860C4C" w:rsidRDefault="00E22ECD">
      <w:pPr>
        <w:pStyle w:val="Zkladntextodsazen"/>
        <w:jc w:val="both"/>
        <w:rPr>
          <w:sz w:val="12"/>
          <w:szCs w:val="12"/>
        </w:rPr>
      </w:pPr>
    </w:p>
    <w:p w:rsidR="00E22ECD" w:rsidRDefault="00E22ECD">
      <w:pPr>
        <w:pStyle w:val="Zkladntextodsazen2"/>
        <w:tabs>
          <w:tab w:val="clear" w:pos="284"/>
        </w:tabs>
        <w:ind w:left="0"/>
        <w:jc w:val="both"/>
      </w:pPr>
      <w:r>
        <w:rPr>
          <w:b/>
          <w:u w:val="single"/>
        </w:rPr>
        <w:t>Opatrnosti je třeba při použití u těchto stavů:</w:t>
      </w:r>
    </w:p>
    <w:p w:rsidR="00E22ECD" w:rsidRDefault="00E22ECD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různé typy nesnášenlivosti plazmy (nemusí to platit pro transfuzní přípravky s nízkým obsahem plazmy),</w:t>
      </w:r>
    </w:p>
    <w:p w:rsidR="00E22ECD" w:rsidRDefault="00E22ECD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výměnné transfuze u novorozenců, pokud se přípravek nepoužije do 5 dní od odběru.</w:t>
      </w:r>
    </w:p>
    <w:p w:rsidR="00E22ECD" w:rsidRPr="00860C4C" w:rsidRDefault="00E22ECD">
      <w:pPr>
        <w:pStyle w:val="Seznamsodrkami"/>
        <w:numPr>
          <w:ilvl w:val="0"/>
          <w:numId w:val="0"/>
        </w:numPr>
        <w:rPr>
          <w:sz w:val="12"/>
          <w:szCs w:val="12"/>
        </w:rPr>
      </w:pP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Uchovávání:</w:t>
      </w: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Přípravek se uchovává v lednici při kontrolované teplotě  +</w:t>
      </w:r>
      <w:smartTag w:uri="urn:schemas-microsoft-com:office:smarttags" w:element="metricconverter">
        <w:smartTagPr>
          <w:attr w:name="ProductID" w:val="2 ﾰC"/>
        </w:smartTagPr>
        <w:r>
          <w:rPr>
            <w:rFonts w:ascii="Arial" w:hAnsi="Arial"/>
            <w:sz w:val="14"/>
          </w:rPr>
          <w:t>2 °C</w:t>
        </w:r>
      </w:smartTag>
      <w:r>
        <w:rPr>
          <w:rFonts w:ascii="Arial" w:hAnsi="Arial"/>
          <w:sz w:val="14"/>
        </w:rPr>
        <w:t xml:space="preserve"> až +</w:t>
      </w:r>
      <w:smartTag w:uri="urn:schemas-microsoft-com:office:smarttags" w:element="metricconverter">
        <w:smartTagPr>
          <w:attr w:name="ProductID" w:val="6 ﾰC"/>
        </w:smartTagPr>
        <w:r>
          <w:rPr>
            <w:rFonts w:ascii="Arial" w:hAnsi="Arial"/>
            <w:sz w:val="14"/>
          </w:rPr>
          <w:t>6 °C</w:t>
        </w:r>
      </w:smartTag>
      <w:r>
        <w:rPr>
          <w:rFonts w:ascii="Arial" w:hAnsi="Arial"/>
          <w:sz w:val="14"/>
        </w:rPr>
        <w:t>.</w:t>
      </w:r>
    </w:p>
    <w:p w:rsidR="00E22ECD" w:rsidRDefault="00E22ECD">
      <w:pPr>
        <w:jc w:val="both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Doba použitelnosti je 42 dnů od odběru a je uvedena na štítku transfuzního přípravku.</w:t>
      </w:r>
    </w:p>
    <w:p w:rsidR="00E22ECD" w:rsidRDefault="00E22ECD">
      <w:pPr>
        <w:jc w:val="both"/>
        <w:rPr>
          <w:rFonts w:ascii="Arial" w:hAnsi="Arial"/>
          <w:b/>
          <w:i/>
          <w:sz w:val="14"/>
        </w:rPr>
      </w:pPr>
    </w:p>
    <w:p w:rsidR="00E22ECD" w:rsidRDefault="00E22ECD">
      <w:pPr>
        <w:jc w:val="both"/>
        <w:rPr>
          <w:rFonts w:ascii="Arial" w:hAnsi="Arial"/>
          <w:sz w:val="14"/>
        </w:rPr>
      </w:pPr>
      <w:r>
        <w:rPr>
          <w:rFonts w:ascii="Arial" w:hAnsi="Arial"/>
          <w:b/>
          <w:sz w:val="14"/>
          <w:u w:val="single"/>
        </w:rPr>
        <w:t>Balení:</w:t>
      </w:r>
      <w:r>
        <w:rPr>
          <w:rFonts w:ascii="Arial" w:hAnsi="Arial"/>
          <w:sz w:val="14"/>
        </w:rPr>
        <w:t xml:space="preserve"> </w:t>
      </w:r>
    </w:p>
    <w:p w:rsidR="00E22ECD" w:rsidRDefault="00E22ECD">
      <w:pPr>
        <w:tabs>
          <w:tab w:val="left" w:pos="284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1 T.U. obsahuje erytrocyty ze separace od jednoho dárce.</w:t>
      </w:r>
    </w:p>
    <w:p w:rsidR="00E22ECD" w:rsidRPr="00860C4C" w:rsidRDefault="00E22ECD">
      <w:pPr>
        <w:tabs>
          <w:tab w:val="left" w:pos="284"/>
        </w:tabs>
        <w:jc w:val="both"/>
        <w:rPr>
          <w:rFonts w:ascii="Arial" w:hAnsi="Arial"/>
          <w:sz w:val="12"/>
          <w:szCs w:val="12"/>
        </w:rPr>
      </w:pPr>
    </w:p>
    <w:p w:rsidR="00E22ECD" w:rsidRDefault="00E22ECD">
      <w:pPr>
        <w:jc w:val="both"/>
        <w:rPr>
          <w:rFonts w:ascii="Arial" w:hAnsi="Arial"/>
          <w:b/>
          <w:sz w:val="14"/>
          <w:u w:val="single"/>
        </w:rPr>
      </w:pPr>
      <w:r>
        <w:rPr>
          <w:rFonts w:ascii="Arial" w:hAnsi="Arial"/>
          <w:b/>
          <w:sz w:val="14"/>
          <w:u w:val="single"/>
        </w:rPr>
        <w:t xml:space="preserve">Transport: </w:t>
      </w:r>
    </w:p>
    <w:p w:rsidR="00BA3CCA" w:rsidRPr="00BA3CCA" w:rsidRDefault="00E22ECD" w:rsidP="00BA3CCA">
      <w:pPr>
        <w:pStyle w:val="Nadpis4"/>
        <w:keepNext w:val="0"/>
        <w:tabs>
          <w:tab w:val="num" w:pos="680"/>
          <w:tab w:val="left" w:pos="1077"/>
          <w:tab w:val="num" w:pos="1140"/>
        </w:tabs>
        <w:suppressAutoHyphens/>
        <w:spacing w:before="80"/>
        <w:jc w:val="both"/>
        <w:rPr>
          <w:rFonts w:ascii="Arial" w:hAnsi="Arial" w:cs="Arial"/>
          <w:b w:val="0"/>
          <w:i w:val="0"/>
          <w:color w:val="auto"/>
          <w:sz w:val="14"/>
        </w:rPr>
      </w:pPr>
      <w:r w:rsidRPr="00BA3CCA">
        <w:rPr>
          <w:rFonts w:ascii="Arial" w:hAnsi="Arial"/>
          <w:b w:val="0"/>
          <w:i w:val="0"/>
          <w:color w:val="auto"/>
          <w:sz w:val="14"/>
        </w:rPr>
        <w:t xml:space="preserve">Zajišťuje se v předem vychlazených uzavřených termoboxech s chladící vložkou, aby byla zajištěna požadovaná přepravní teplota. </w:t>
      </w:r>
      <w:r w:rsidR="00BA3CCA" w:rsidRPr="00BA3CCA">
        <w:rPr>
          <w:rFonts w:ascii="Arial" w:hAnsi="Arial" w:cs="Arial"/>
          <w:b w:val="0"/>
          <w:i w:val="0"/>
          <w:color w:val="auto"/>
          <w:sz w:val="14"/>
        </w:rPr>
        <w:t>Během přepravy má být zajištěna teplota +</w:t>
      </w:r>
      <w:smartTag w:uri="urn:schemas-microsoft-com:office:smarttags" w:element="metricconverter">
        <w:smartTagPr>
          <w:attr w:name="ProductID" w:val="2 °C"/>
        </w:smartTagPr>
        <w:r w:rsidR="00BA3CCA" w:rsidRPr="00BA3CCA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BA3CCA" w:rsidRPr="00BA3CCA">
        <w:rPr>
          <w:rFonts w:ascii="Arial" w:hAnsi="Arial" w:cs="Arial"/>
          <w:b w:val="0"/>
          <w:i w:val="0"/>
          <w:color w:val="auto"/>
          <w:sz w:val="14"/>
        </w:rPr>
        <w:t xml:space="preserve"> až +10 °C (+1,6 °C až +10,4 °C) pokud je doba transportu maximálně 24 hodin, při době transportu &gt;24 hodin se erytrocytární TP transportují při teplotě +</w:t>
      </w:r>
      <w:smartTag w:uri="urn:schemas-microsoft-com:office:smarttags" w:element="metricconverter">
        <w:smartTagPr>
          <w:attr w:name="ProductID" w:val="2 °C"/>
        </w:smartTagPr>
        <w:r w:rsidR="00BA3CCA" w:rsidRPr="00BA3CCA">
          <w:rPr>
            <w:rFonts w:ascii="Arial" w:hAnsi="Arial" w:cs="Arial"/>
            <w:b w:val="0"/>
            <w:i w:val="0"/>
            <w:color w:val="auto"/>
            <w:sz w:val="14"/>
          </w:rPr>
          <w:t>2 °C</w:t>
        </w:r>
      </w:smartTag>
      <w:r w:rsidR="00BA3CCA" w:rsidRPr="00BA3CCA">
        <w:rPr>
          <w:rFonts w:ascii="Arial" w:hAnsi="Arial" w:cs="Arial"/>
          <w:b w:val="0"/>
          <w:i w:val="0"/>
          <w:color w:val="auto"/>
          <w:sz w:val="14"/>
        </w:rPr>
        <w:t xml:space="preserve"> až +6 °C (+1,6 °C až +6,4 °C).</w:t>
      </w:r>
    </w:p>
    <w:p w:rsidR="00E22ECD" w:rsidRPr="00BA3CCA" w:rsidRDefault="00E22ECD" w:rsidP="000A51F0">
      <w:pPr>
        <w:jc w:val="both"/>
        <w:rPr>
          <w:rFonts w:ascii="Arial" w:hAnsi="Arial"/>
          <w:sz w:val="14"/>
        </w:rPr>
      </w:pPr>
    </w:p>
    <w:p w:rsidR="00E22ECD" w:rsidRDefault="00E22ECD">
      <w:pPr>
        <w:tabs>
          <w:tab w:val="left" w:pos="284"/>
        </w:tabs>
        <w:jc w:val="both"/>
      </w:pPr>
      <w:r>
        <w:rPr>
          <w:rFonts w:ascii="Arial" w:hAnsi="Arial"/>
          <w:b/>
          <w:sz w:val="14"/>
          <w:u w:val="single"/>
        </w:rPr>
        <w:t>Datum poslední revize:</w:t>
      </w:r>
      <w:r w:rsidRPr="000F39F9">
        <w:rPr>
          <w:rFonts w:ascii="Arial" w:hAnsi="Arial"/>
          <w:b/>
          <w:sz w:val="14"/>
        </w:rPr>
        <w:t xml:space="preserve"> </w:t>
      </w:r>
      <w:bookmarkStart w:id="0" w:name="_GoBack"/>
      <w:bookmarkEnd w:id="0"/>
      <w:r w:rsidR="00702E86">
        <w:rPr>
          <w:rFonts w:ascii="Arial" w:hAnsi="Arial"/>
          <w:sz w:val="14"/>
        </w:rPr>
        <w:t>Srpen</w:t>
      </w:r>
      <w:r w:rsidRPr="00BA3CCA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>201</w:t>
      </w:r>
      <w:r w:rsidR="00BA3CCA">
        <w:rPr>
          <w:rFonts w:ascii="Arial" w:hAnsi="Arial"/>
          <w:sz w:val="14"/>
        </w:rPr>
        <w:t>8</w:t>
      </w:r>
      <w:r>
        <w:rPr>
          <w:rFonts w:ascii="Arial" w:hAnsi="Arial"/>
          <w:sz w:val="14"/>
        </w:rPr>
        <w:t xml:space="preserve"> – verze č. 0</w:t>
      </w:r>
      <w:r w:rsidR="00BA3CCA">
        <w:rPr>
          <w:rFonts w:ascii="Arial" w:hAnsi="Arial"/>
          <w:sz w:val="14"/>
        </w:rPr>
        <w:t>6</w:t>
      </w:r>
    </w:p>
    <w:sectPr w:rsidR="00E22ECD" w:rsidSect="0084621A">
      <w:footerReference w:type="default" r:id="rId9"/>
      <w:pgSz w:w="8392" w:h="11907" w:code="11"/>
      <w:pgMar w:top="426" w:right="567" w:bottom="426" w:left="624" w:header="709" w:footer="2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6B4" w:rsidRDefault="00AF66B4">
      <w:r>
        <w:separator/>
      </w:r>
    </w:p>
  </w:endnote>
  <w:endnote w:type="continuationSeparator" w:id="0">
    <w:p w:rsidR="00AF66B4" w:rsidRDefault="00AF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F9A" w:rsidRDefault="00C10F9A">
    <w:pPr>
      <w:pStyle w:val="Zpat"/>
      <w:jc w:val="center"/>
      <w:rPr>
        <w:sz w:val="14"/>
      </w:rPr>
    </w:pPr>
    <w:r>
      <w:rPr>
        <w:rStyle w:val="slostrnky"/>
        <w:sz w:val="14"/>
      </w:rPr>
      <w:fldChar w:fldCharType="begin"/>
    </w:r>
    <w:r>
      <w:rPr>
        <w:rStyle w:val="slostrnky"/>
        <w:sz w:val="14"/>
      </w:rPr>
      <w:instrText xml:space="preserve"> PAGE </w:instrText>
    </w:r>
    <w:r>
      <w:rPr>
        <w:rStyle w:val="slostrnky"/>
        <w:sz w:val="14"/>
      </w:rPr>
      <w:fldChar w:fldCharType="separate"/>
    </w:r>
    <w:r w:rsidR="0084621A">
      <w:rPr>
        <w:rStyle w:val="slostrnky"/>
        <w:noProof/>
        <w:sz w:val="14"/>
      </w:rPr>
      <w:t>1</w:t>
    </w:r>
    <w:r>
      <w:rPr>
        <w:rStyle w:val="slostrnky"/>
        <w:sz w:val="14"/>
      </w:rPr>
      <w:fldChar w:fldCharType="end"/>
    </w:r>
    <w:r>
      <w:rPr>
        <w:rStyle w:val="slostrnky"/>
        <w:sz w:val="14"/>
      </w:rPr>
      <w:t xml:space="preserve"> /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6B4" w:rsidRDefault="00AF66B4">
      <w:r>
        <w:separator/>
      </w:r>
    </w:p>
  </w:footnote>
  <w:footnote w:type="continuationSeparator" w:id="0">
    <w:p w:rsidR="00AF66B4" w:rsidRDefault="00AF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500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2483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8E748D0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6CA691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7732457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3A33602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C3267A8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EB24A1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51A85136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53E79F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48E6131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74638AD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8931E09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BC35D7E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71DA08B7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72295C15"/>
    <w:multiLevelType w:val="singleLevel"/>
    <w:tmpl w:val="8D9E697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6D06017"/>
    <w:multiLevelType w:val="singleLevel"/>
    <w:tmpl w:val="A4D891D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5"/>
  </w:num>
  <w:num w:numId="15">
    <w:abstractNumId w:val="13"/>
  </w:num>
  <w:num w:numId="16">
    <w:abstractNumId w:val="12"/>
  </w:num>
  <w:num w:numId="17">
    <w:abstractNumId w:val="11"/>
  </w:num>
  <w:num w:numId="18">
    <w:abstractNumId w:val="2"/>
  </w:num>
  <w:num w:numId="19">
    <w:abstractNumId w:val="3"/>
  </w:num>
  <w:num w:numId="20">
    <w:abstractNumId w:val="16"/>
  </w:num>
  <w:num w:numId="21">
    <w:abstractNumId w:val="10"/>
  </w:num>
  <w:num w:numId="22">
    <w:abstractNumId w:val="5"/>
  </w:num>
  <w:num w:numId="23">
    <w:abstractNumId w:val="10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F4F"/>
    <w:rsid w:val="00034151"/>
    <w:rsid w:val="000A51F0"/>
    <w:rsid w:val="000F39F9"/>
    <w:rsid w:val="001A0188"/>
    <w:rsid w:val="001C456A"/>
    <w:rsid w:val="001D3790"/>
    <w:rsid w:val="001D5191"/>
    <w:rsid w:val="001F4BF5"/>
    <w:rsid w:val="00204B4F"/>
    <w:rsid w:val="00223CF6"/>
    <w:rsid w:val="002436D3"/>
    <w:rsid w:val="002C4C34"/>
    <w:rsid w:val="003533B9"/>
    <w:rsid w:val="003F2055"/>
    <w:rsid w:val="004C5E14"/>
    <w:rsid w:val="004D6841"/>
    <w:rsid w:val="004F5D7F"/>
    <w:rsid w:val="00626A37"/>
    <w:rsid w:val="00642F4F"/>
    <w:rsid w:val="00673ED7"/>
    <w:rsid w:val="006B7F71"/>
    <w:rsid w:val="006F6AC8"/>
    <w:rsid w:val="00702E86"/>
    <w:rsid w:val="00706134"/>
    <w:rsid w:val="00781BAA"/>
    <w:rsid w:val="007A1A3E"/>
    <w:rsid w:val="007E277C"/>
    <w:rsid w:val="00816668"/>
    <w:rsid w:val="00844326"/>
    <w:rsid w:val="0084621A"/>
    <w:rsid w:val="00860C4C"/>
    <w:rsid w:val="008A319A"/>
    <w:rsid w:val="008A3FC8"/>
    <w:rsid w:val="00950B38"/>
    <w:rsid w:val="0095390E"/>
    <w:rsid w:val="00954DAD"/>
    <w:rsid w:val="00967D0A"/>
    <w:rsid w:val="009A3090"/>
    <w:rsid w:val="00A8280A"/>
    <w:rsid w:val="00A97252"/>
    <w:rsid w:val="00AA5DD9"/>
    <w:rsid w:val="00AB3DE2"/>
    <w:rsid w:val="00AC4CD9"/>
    <w:rsid w:val="00AD4FF7"/>
    <w:rsid w:val="00AF66B4"/>
    <w:rsid w:val="00B506EC"/>
    <w:rsid w:val="00BA3CCA"/>
    <w:rsid w:val="00BD1DEB"/>
    <w:rsid w:val="00BD27B2"/>
    <w:rsid w:val="00C10F9A"/>
    <w:rsid w:val="00C355C1"/>
    <w:rsid w:val="00C97506"/>
    <w:rsid w:val="00CE1924"/>
    <w:rsid w:val="00D24D3F"/>
    <w:rsid w:val="00E22ECD"/>
    <w:rsid w:val="00EC0638"/>
    <w:rsid w:val="00EF5CAB"/>
    <w:rsid w:val="00F6304F"/>
    <w:rsid w:val="00F95BE8"/>
    <w:rsid w:val="00FA1FED"/>
    <w:rsid w:val="00F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2290A5-78BA-471D-A134-70486706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205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F2055"/>
    <w:pPr>
      <w:keepNext/>
      <w:jc w:val="both"/>
      <w:outlineLvl w:val="0"/>
    </w:pPr>
    <w:rPr>
      <w:rFonts w:ascii="Arial" w:hAnsi="Arial"/>
      <w:b/>
      <w:sz w:val="14"/>
      <w:vertAlign w:val="superscript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3C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9"/>
    <w:qFormat/>
    <w:rsid w:val="003F2055"/>
    <w:pPr>
      <w:keepNext/>
      <w:outlineLvl w:val="5"/>
    </w:pPr>
    <w:rPr>
      <w:rFonts w:ascii="Arial Black" w:hAnsi="Arial Black"/>
      <w:b/>
      <w:caps/>
      <w:color w:val="80008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975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97506"/>
    <w:rPr>
      <w:rFonts w:ascii="Calibri" w:hAnsi="Calibri" w:cs="Times New Roman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3F2055"/>
    <w:rPr>
      <w:rFonts w:ascii="Arial" w:hAnsi="Arial"/>
      <w:sz w:val="1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7506"/>
    <w:rPr>
      <w:rFonts w:cs="Times New Roman"/>
    </w:rPr>
  </w:style>
  <w:style w:type="paragraph" w:styleId="Seznamsodrkami">
    <w:name w:val="List Bullet"/>
    <w:basedOn w:val="Normln"/>
    <w:autoRedefine/>
    <w:uiPriority w:val="99"/>
    <w:rsid w:val="003F2055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3F2055"/>
    <w:pPr>
      <w:jc w:val="center"/>
    </w:pPr>
    <w:rPr>
      <w:i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C97506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3F2055"/>
    <w:pPr>
      <w:jc w:val="center"/>
    </w:pPr>
    <w:rPr>
      <w:b/>
      <w:sz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C97506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2">
    <w:name w:val="Body Text Indent 2"/>
    <w:basedOn w:val="Normln"/>
    <w:link w:val="Zkladntextodsazen2Char"/>
    <w:uiPriority w:val="99"/>
    <w:rsid w:val="003F2055"/>
    <w:pPr>
      <w:tabs>
        <w:tab w:val="left" w:pos="284"/>
      </w:tabs>
      <w:ind w:left="284"/>
    </w:pPr>
    <w:rPr>
      <w:rFonts w:ascii="Arial" w:hAnsi="Arial"/>
      <w:sz w:val="1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97506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3F2055"/>
    <w:pPr>
      <w:ind w:left="360"/>
    </w:pPr>
    <w:rPr>
      <w:rFonts w:ascii="Arial" w:hAnsi="Arial"/>
      <w:sz w:val="1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97506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3F2055"/>
    <w:pPr>
      <w:jc w:val="both"/>
    </w:pPr>
    <w:rPr>
      <w:rFonts w:ascii="Arial" w:hAnsi="Arial"/>
      <w:sz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97506"/>
    <w:rPr>
      <w:rFonts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rsid w:val="003F2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97506"/>
    <w:rPr>
      <w:rFonts w:cs="Times New Roman"/>
    </w:rPr>
  </w:style>
  <w:style w:type="paragraph" w:styleId="Zpat">
    <w:name w:val="footer"/>
    <w:basedOn w:val="Normln"/>
    <w:link w:val="ZpatChar"/>
    <w:uiPriority w:val="99"/>
    <w:rsid w:val="003F2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97506"/>
    <w:rPr>
      <w:rFonts w:cs="Times New Roman"/>
    </w:rPr>
  </w:style>
  <w:style w:type="character" w:styleId="slostrnky">
    <w:name w:val="page number"/>
    <w:basedOn w:val="Standardnpsmoodstavce"/>
    <w:uiPriority w:val="99"/>
    <w:rsid w:val="003F2055"/>
    <w:rPr>
      <w:rFonts w:cs="Times New Roman"/>
    </w:rPr>
  </w:style>
  <w:style w:type="character" w:customStyle="1" w:styleId="Nadpis4Char">
    <w:name w:val="Nadpis 4 Char"/>
    <w:basedOn w:val="Standardnpsmoodstavce"/>
    <w:link w:val="Nadpis4"/>
    <w:semiHidden/>
    <w:rsid w:val="00BA3CC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2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70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A410-9588-475E-BC49-4AE4D771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1035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</vt:lpstr>
    </vt:vector>
  </TitlesOfParts>
  <Company>FN Olomouc</Company>
  <LinksUpToDate>false</LinksUpToDate>
  <CharactersWithSpaces>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</dc:title>
  <dc:creator>FTO</dc:creator>
  <cp:lastModifiedBy>Hrabálek Petr, Ing.</cp:lastModifiedBy>
  <cp:revision>6</cp:revision>
  <cp:lastPrinted>2020-04-16T09:34:00Z</cp:lastPrinted>
  <dcterms:created xsi:type="dcterms:W3CDTF">2018-07-23T09:45:00Z</dcterms:created>
  <dcterms:modified xsi:type="dcterms:W3CDTF">2020-04-16T09:34:00Z</dcterms:modified>
</cp:coreProperties>
</file>