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6B" w:rsidRDefault="00D10E2D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>
        <w:rPr>
          <w:noProof/>
        </w:rPr>
        <w:drawing>
          <wp:inline distT="0" distB="0" distL="0" distR="0" wp14:anchorId="29A5B078" wp14:editId="5F4C411D">
            <wp:extent cx="1447800" cy="370717"/>
            <wp:effectExtent l="0" t="0" r="0" b="0"/>
            <wp:docPr id="1" name="obrázek 2" descr="O:\- O R G A N I Z A Č N Í   N O R M Y\PODKLADY PRO ON - logo\FNOL_logo_pozitiv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:\- O R G A N I Z A Č N Í   N O R M Y\PODKLADY PRO ON - logo\FNOL_logo_pozitiv_CMYK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572" cy="37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66B" w:rsidRDefault="0093066B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</w:p>
    <w:p w:rsidR="0093066B" w:rsidRDefault="0093066B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93066B" w:rsidRDefault="0093066B">
      <w:pPr>
        <w:jc w:val="both"/>
        <w:rPr>
          <w:b/>
          <w:sz w:val="16"/>
        </w:rPr>
      </w:pPr>
    </w:p>
    <w:p w:rsidR="0093066B" w:rsidRDefault="0093066B">
      <w:pPr>
        <w:pStyle w:val="Zkladntext"/>
        <w:jc w:val="both"/>
        <w:rPr>
          <w:rFonts w:ascii="Arial Narrow" w:hAnsi="Arial Narrow"/>
          <w:spacing w:val="8"/>
          <w:sz w:val="16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E27413">
        <w:rPr>
          <w:rFonts w:ascii="Arial Narrow" w:hAnsi="Arial Narrow"/>
          <w:spacing w:val="8"/>
          <w:sz w:val="16"/>
        </w:rPr>
        <w:t xml:space="preserve"> 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93066B" w:rsidRDefault="0093066B">
      <w:pPr>
        <w:pStyle w:val="Zkladntext"/>
        <w:jc w:val="both"/>
        <w:rPr>
          <w:rFonts w:ascii="Arial Black" w:hAnsi="Arial Black"/>
          <w:b/>
          <w:spacing w:val="8"/>
          <w:sz w:val="16"/>
        </w:rPr>
      </w:pPr>
      <w:r>
        <w:t xml:space="preserve">                     </w:t>
      </w:r>
    </w:p>
    <w:p w:rsidR="0093066B" w:rsidRDefault="0093066B">
      <w:pPr>
        <w:pStyle w:val="Nadpis6"/>
        <w:tabs>
          <w:tab w:val="left" w:pos="851"/>
        </w:tabs>
        <w:jc w:val="both"/>
        <w:rPr>
          <w:color w:val="auto"/>
          <w:sz w:val="16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    </w:t>
      </w:r>
      <w:r>
        <w:rPr>
          <w:color w:val="auto"/>
          <w:sz w:val="18"/>
        </w:rPr>
        <w:t>Erytrocyty bez buffy-coatu resuspendované</w:t>
      </w:r>
    </w:p>
    <w:p w:rsidR="0093066B" w:rsidRDefault="0093066B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EbR</w:t>
      </w:r>
    </w:p>
    <w:p w:rsidR="0093066B" w:rsidRDefault="0093066B" w:rsidP="001247C8">
      <w:pPr>
        <w:rPr>
          <w:sz w:val="12"/>
          <w:szCs w:val="12"/>
        </w:rPr>
      </w:pPr>
    </w:p>
    <w:p w:rsidR="0093066B" w:rsidRPr="001247C8" w:rsidRDefault="0093066B" w:rsidP="001247C8">
      <w:pPr>
        <w:rPr>
          <w:sz w:val="12"/>
          <w:szCs w:val="12"/>
        </w:rPr>
      </w:pPr>
    </w:p>
    <w:p w:rsidR="0093066B" w:rsidRDefault="0093066B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93066B" w:rsidRDefault="0093066B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P. Pavlova 185/6, 779 00  Olomouc – C 2059.</w:t>
      </w:r>
    </w:p>
    <w:p w:rsidR="0093066B" w:rsidRDefault="0093066B">
      <w:pPr>
        <w:jc w:val="both"/>
        <w:rPr>
          <w:caps/>
          <w:sz w:val="14"/>
        </w:rPr>
      </w:pPr>
    </w:p>
    <w:p w:rsidR="0093066B" w:rsidRDefault="0093066B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93066B" w:rsidRDefault="0093066B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koncentrát erytrocytů,</w:t>
      </w:r>
    </w:p>
    <w:p w:rsidR="0093066B" w:rsidRPr="003A597D" w:rsidRDefault="0093066B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napToGrid w:val="0"/>
          <w:sz w:val="14"/>
        </w:rPr>
      </w:pPr>
      <w:r w:rsidRPr="003A597D">
        <w:rPr>
          <w:rFonts w:ascii="Arial" w:hAnsi="Arial"/>
          <w:sz w:val="14"/>
        </w:rPr>
        <w:t>antikoagulační roztok CPD</w:t>
      </w:r>
      <w:r>
        <w:rPr>
          <w:rFonts w:ascii="Arial" w:hAnsi="Arial"/>
          <w:sz w:val="14"/>
        </w:rPr>
        <w:t>,</w:t>
      </w:r>
    </w:p>
    <w:p w:rsidR="0093066B" w:rsidRPr="003A597D" w:rsidRDefault="0093066B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 w:rsidRPr="003A597D">
        <w:rPr>
          <w:rFonts w:ascii="Arial" w:hAnsi="Arial"/>
          <w:sz w:val="14"/>
        </w:rPr>
        <w:t>resuspenzní roztok SAGM 100 ml</w:t>
      </w:r>
      <w:r>
        <w:rPr>
          <w:rFonts w:ascii="Arial" w:hAnsi="Arial"/>
          <w:sz w:val="14"/>
        </w:rPr>
        <w:t>,</w:t>
      </w:r>
    </w:p>
    <w:p w:rsidR="0093066B" w:rsidRPr="003A597D" w:rsidRDefault="0093066B">
      <w:pPr>
        <w:pStyle w:val="Zkladntextodsazen3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</w:pPr>
      <w:r w:rsidRPr="003A597D">
        <w:t>hematokrit:</w:t>
      </w:r>
      <w:r>
        <w:t xml:space="preserve"> </w:t>
      </w:r>
      <w:r w:rsidRPr="003A597D">
        <w:t>0,50 – 0,70</w:t>
      </w:r>
      <w:r>
        <w:t>,</w:t>
      </w:r>
      <w:r w:rsidRPr="003A597D">
        <w:t xml:space="preserve"> </w:t>
      </w:r>
    </w:p>
    <w:p w:rsidR="0093066B" w:rsidRPr="003A597D" w:rsidRDefault="0093066B">
      <w:pPr>
        <w:pStyle w:val="Zkladntextodsazen3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</w:pPr>
      <w:r w:rsidRPr="003A597D">
        <w:t>hemoglobin: minimálně 43 g</w:t>
      </w:r>
      <w:r>
        <w:t>/T.U.,</w:t>
      </w:r>
    </w:p>
    <w:p w:rsidR="0093066B" w:rsidRPr="00B108EF" w:rsidRDefault="0093066B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napToGrid w:val="0"/>
          <w:sz w:val="14"/>
        </w:rPr>
      </w:pPr>
      <w:r w:rsidRPr="003A597D">
        <w:rPr>
          <w:rFonts w:ascii="Arial" w:hAnsi="Arial"/>
          <w:sz w:val="14"/>
        </w:rPr>
        <w:t>leukocyty: nižší než 1,2 x 10</w:t>
      </w:r>
      <w:r w:rsidRPr="003A597D"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>/T.U.,</w:t>
      </w:r>
      <w:r w:rsidRPr="003A597D">
        <w:rPr>
          <w:rFonts w:ascii="Arial" w:hAnsi="Arial"/>
          <w:sz w:val="14"/>
        </w:rPr>
        <w:t xml:space="preserve"> </w:t>
      </w:r>
    </w:p>
    <w:p w:rsidR="0093066B" w:rsidRPr="003A597D" w:rsidRDefault="0093066B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z w:val="14"/>
        </w:rPr>
        <w:t>hemolýza na konci doby použitelnosti méně než 0,8% erytrocytové hmoty.</w:t>
      </w:r>
    </w:p>
    <w:p w:rsidR="0093066B" w:rsidRDefault="0093066B">
      <w:pPr>
        <w:jc w:val="both"/>
        <w:rPr>
          <w:rFonts w:ascii="Arial" w:hAnsi="Arial"/>
          <w:b/>
          <w:sz w:val="14"/>
          <w:u w:val="single"/>
        </w:rPr>
      </w:pPr>
    </w:p>
    <w:p w:rsidR="0093066B" w:rsidRDefault="0093066B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93066B" w:rsidRDefault="0093066B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93066B" w:rsidRDefault="0093066B">
      <w:pPr>
        <w:jc w:val="both"/>
        <w:rPr>
          <w:rFonts w:ascii="Arial" w:hAnsi="Arial"/>
          <w:sz w:val="14"/>
        </w:rPr>
      </w:pPr>
    </w:p>
    <w:p w:rsidR="0093066B" w:rsidRPr="001D5A28" w:rsidRDefault="0093066B">
      <w:pPr>
        <w:jc w:val="both"/>
        <w:rPr>
          <w:rFonts w:ascii="Arial" w:hAnsi="Arial"/>
          <w:sz w:val="14"/>
        </w:rPr>
      </w:pPr>
      <w:r w:rsidRPr="001D5A28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0007917</w:t>
      </w:r>
    </w:p>
    <w:p w:rsidR="0093066B" w:rsidRDefault="0093066B">
      <w:pPr>
        <w:pStyle w:val="Nadpis1"/>
        <w:rPr>
          <w:snapToGrid w:val="0"/>
        </w:rPr>
      </w:pPr>
    </w:p>
    <w:p w:rsidR="0093066B" w:rsidRDefault="0093066B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93066B" w:rsidRPr="00202844" w:rsidRDefault="0093066B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EBR je koncentrát erytrocytů získaný z plné krve po její centrifugaci, odstranění plazmy a buffy-coatu         (= vrstvy leukocytů a trombocytů) a následné resuspenzi erytrocytů ve vhodném výživném roztoku. </w:t>
      </w:r>
      <w:r w:rsidRPr="00202844">
        <w:rPr>
          <w:rFonts w:ascii="Arial" w:hAnsi="Arial"/>
          <w:sz w:val="14"/>
        </w:rPr>
        <w:t>Jedná se o nejčastěji připravovaný transf</w:t>
      </w:r>
      <w:r>
        <w:rPr>
          <w:rFonts w:ascii="Arial" w:hAnsi="Arial"/>
          <w:sz w:val="14"/>
        </w:rPr>
        <w:t>u</w:t>
      </w:r>
      <w:r w:rsidRPr="00202844">
        <w:rPr>
          <w:rFonts w:ascii="Arial" w:hAnsi="Arial"/>
          <w:sz w:val="14"/>
        </w:rPr>
        <w:t>zní přípravek.</w:t>
      </w:r>
    </w:p>
    <w:p w:rsidR="0093066B" w:rsidRPr="00202844" w:rsidRDefault="0093066B">
      <w:pPr>
        <w:jc w:val="both"/>
        <w:rPr>
          <w:b/>
          <w:sz w:val="14"/>
          <w:u w:val="single"/>
        </w:rPr>
      </w:pPr>
    </w:p>
    <w:p w:rsidR="0093066B" w:rsidRPr="00A07B35" w:rsidRDefault="0093066B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</w:t>
      </w:r>
      <w:r>
        <w:rPr>
          <w:rFonts w:ascii="Arial" w:hAnsi="Arial"/>
          <w:sz w:val="14"/>
        </w:rPr>
        <w:t>1 T.U.: minimálně 250 ml</w:t>
      </w:r>
    </w:p>
    <w:p w:rsidR="0093066B" w:rsidRDefault="0093066B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93066B" w:rsidRDefault="0093066B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93066B" w:rsidRDefault="0093066B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Anémie, náhlá ztráta krve. </w:t>
      </w:r>
    </w:p>
    <w:p w:rsidR="0093066B" w:rsidRDefault="0093066B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93066B" w:rsidRDefault="0093066B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93066B" w:rsidRDefault="0093066B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relativní hypervolémie,</w:t>
      </w:r>
    </w:p>
    <w:p w:rsidR="0093066B" w:rsidRDefault="0093066B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 případech, kde lze dosáhnout normalizace krevního obrazu jiným způsobem léčby.</w:t>
      </w:r>
    </w:p>
    <w:p w:rsidR="0093066B" w:rsidRDefault="0093066B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</w:p>
    <w:p w:rsidR="0093066B" w:rsidRDefault="0093066B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93066B" w:rsidRDefault="0093066B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oběhové přetížení,</w:t>
      </w:r>
    </w:p>
    <w:p w:rsidR="0093066B" w:rsidRDefault="0093066B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hemolytická potransfuzní reakce,</w:t>
      </w:r>
    </w:p>
    <w:p w:rsidR="0093066B" w:rsidRDefault="0093066B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nehemolytické potransfuzní reakce (hlavně zimnice, horečka, třesavka),</w:t>
      </w:r>
    </w:p>
    <w:p w:rsidR="0093066B" w:rsidRDefault="0093066B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aloimunizace proti HLA a erytrocytovým antigenům,</w:t>
      </w:r>
    </w:p>
    <w:p w:rsidR="0093066B" w:rsidRDefault="0093066B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riziko infekcí přenosných krví (hepatitidy, HIV, syfilis) je možné bez ohledu na pečlivý výběr dárců        a screeningová vyšetření,</w:t>
      </w:r>
    </w:p>
    <w:p w:rsidR="0093066B" w:rsidRDefault="0093066B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malárie),</w:t>
      </w:r>
    </w:p>
    <w:p w:rsidR="0093066B" w:rsidRDefault="0093066B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93066B" w:rsidRDefault="0093066B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biochemické odchylky při masivní transfuzi, např. hyperkalémie,</w:t>
      </w:r>
    </w:p>
    <w:p w:rsidR="0093066B" w:rsidRDefault="0093066B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potransfuzní purpura,</w:t>
      </w:r>
    </w:p>
    <w:p w:rsidR="0093066B" w:rsidRPr="003A597D" w:rsidRDefault="0093066B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akutní poškození plic vyvolané transfuzí </w:t>
      </w:r>
      <w:r w:rsidRPr="003A597D">
        <w:rPr>
          <w:rFonts w:ascii="Arial" w:hAnsi="Arial"/>
          <w:sz w:val="14"/>
        </w:rPr>
        <w:t>(TRALI)</w:t>
      </w:r>
      <w:r>
        <w:rPr>
          <w:rFonts w:ascii="Arial" w:hAnsi="Arial"/>
          <w:sz w:val="14"/>
        </w:rPr>
        <w:t>,</w:t>
      </w:r>
    </w:p>
    <w:p w:rsidR="0093066B" w:rsidRDefault="0093066B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přenos jiných patogenů, které se screeningově netestují nebo nebyly dosud rozpoznány.</w:t>
      </w:r>
    </w:p>
    <w:p w:rsidR="0093066B" w:rsidRDefault="0093066B">
      <w:pPr>
        <w:jc w:val="both"/>
        <w:rPr>
          <w:rFonts w:ascii="Arial" w:hAnsi="Arial"/>
          <w:b/>
          <w:sz w:val="14"/>
          <w:u w:val="single"/>
        </w:rPr>
      </w:pPr>
    </w:p>
    <w:p w:rsidR="0093066B" w:rsidRDefault="0093066B">
      <w:pPr>
        <w:jc w:val="both"/>
        <w:rPr>
          <w:rFonts w:ascii="Arial" w:hAnsi="Arial"/>
          <w:b/>
          <w:sz w:val="14"/>
          <w:u w:val="single"/>
        </w:rPr>
      </w:pPr>
    </w:p>
    <w:p w:rsidR="0093066B" w:rsidRDefault="0093066B">
      <w:pPr>
        <w:jc w:val="both"/>
        <w:rPr>
          <w:rFonts w:ascii="Arial" w:hAnsi="Arial"/>
          <w:b/>
          <w:sz w:val="14"/>
          <w:u w:val="single"/>
        </w:rPr>
      </w:pPr>
    </w:p>
    <w:p w:rsidR="0093066B" w:rsidRDefault="0093066B">
      <w:pPr>
        <w:jc w:val="both"/>
        <w:rPr>
          <w:rFonts w:ascii="Arial" w:hAnsi="Arial"/>
          <w:b/>
          <w:sz w:val="14"/>
          <w:u w:val="single"/>
        </w:rPr>
      </w:pPr>
    </w:p>
    <w:p w:rsidR="0093066B" w:rsidRDefault="0093066B">
      <w:pPr>
        <w:jc w:val="center"/>
        <w:rPr>
          <w:rFonts w:ascii="Arial" w:hAnsi="Arial"/>
          <w:sz w:val="14"/>
        </w:rPr>
      </w:pPr>
    </w:p>
    <w:p w:rsidR="0093066B" w:rsidRDefault="0093066B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93066B" w:rsidRDefault="0093066B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93066B" w:rsidRDefault="0093066B">
      <w:pPr>
        <w:jc w:val="both"/>
        <w:rPr>
          <w:rFonts w:ascii="Arial" w:hAnsi="Arial"/>
          <w:sz w:val="14"/>
        </w:rPr>
      </w:pPr>
    </w:p>
    <w:p w:rsidR="0093066B" w:rsidRDefault="0093066B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93066B" w:rsidRDefault="0093066B">
      <w:pPr>
        <w:pStyle w:val="Zkladntext3"/>
      </w:pPr>
      <w:r>
        <w:t>Dávkování určuje lékař. Obvykle se krevní transfuze podává při klinických známkách nedostatečného sycení kyslíkem. Jedna transfuzní jednotka EBR zlepšuje hematokrit u dospělého přibližně o 0,2.              Při náhlém krvácení se nejdříve podávají krystaloidy, koloidy a krevní transfuze až následně.</w:t>
      </w:r>
    </w:p>
    <w:p w:rsidR="0093066B" w:rsidRDefault="0093066B">
      <w:pPr>
        <w:pStyle w:val="Seznamsodrkami"/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Přípravek se podává intravenózně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</w:t>
      </w:r>
    </w:p>
    <w:p w:rsidR="0093066B" w:rsidRDefault="0093066B">
      <w:pPr>
        <w:pStyle w:val="Seznamsodrkami"/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Kontrola vnějšího vzhledu přípravku se zaměřením na možnou hemolýzu, sraženiny a neporušenost obalu.</w:t>
      </w:r>
    </w:p>
    <w:p w:rsidR="0093066B" w:rsidRDefault="0093066B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Kontrola dokumentace, čísla a typu transfuzního přípravku, doby použitelnosti, skupiny v AB0 a RhD systému.</w:t>
      </w:r>
    </w:p>
    <w:p w:rsidR="0093066B" w:rsidRDefault="0093066B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Provést povinnou zajišťovací zkoušku. </w:t>
      </w:r>
    </w:p>
    <w:p w:rsidR="0093066B" w:rsidRDefault="0093066B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Před a po transfuzi zkontrolovat u pacienta TK,  puls, tělesnou teplotu.  </w:t>
      </w:r>
    </w:p>
    <w:p w:rsidR="0093066B" w:rsidRDefault="0093066B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Při začátku transfuze provést biologickou zkoušku dle klinické potřeby.</w:t>
      </w:r>
    </w:p>
    <w:p w:rsidR="0093066B" w:rsidRDefault="0093066B" w:rsidP="003A597D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Po ukončení transfuze ponechat zbytek přípravku (nejméně 10 ml) ve vaku na dobu 24 hodin v chladničce.</w:t>
      </w:r>
    </w:p>
    <w:p w:rsidR="0093066B" w:rsidRDefault="0093066B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</w:p>
    <w:p w:rsidR="0093066B" w:rsidRDefault="0093066B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93066B" w:rsidRDefault="0093066B" w:rsidP="00B108EF">
      <w:pPr>
        <w:pStyle w:val="Zkladntextodsazen"/>
        <w:numPr>
          <w:ilvl w:val="0"/>
          <w:numId w:val="43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Kompatibilita přípravku s uvažovaným příjemcem se musí ověřit povinným předtransfuzním      vyšetřením.</w:t>
      </w:r>
      <w:r>
        <w:rPr>
          <w:lang w:val="cs-CZ"/>
        </w:rPr>
        <w:t xml:space="preserve"> </w:t>
      </w:r>
      <w:r>
        <w:rPr>
          <w:rFonts w:ascii="Arial" w:hAnsi="Arial"/>
          <w:color w:val="auto"/>
          <w:sz w:val="14"/>
          <w:lang w:val="cs-CZ"/>
        </w:rPr>
        <w:t>Toto vyšetření platí pouze 72 hodin, pak je nutno vyšetření zopakovat.</w:t>
      </w:r>
    </w:p>
    <w:p w:rsidR="0093066B" w:rsidRDefault="0093066B" w:rsidP="00B108EF">
      <w:pPr>
        <w:pStyle w:val="Zkladntextodsazen"/>
        <w:numPr>
          <w:ilvl w:val="0"/>
          <w:numId w:val="43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93066B" w:rsidRDefault="0093066B" w:rsidP="00B108EF">
      <w:pPr>
        <w:pStyle w:val="Zkladntextodsazen"/>
        <w:numPr>
          <w:ilvl w:val="0"/>
          <w:numId w:val="43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lze vrátit zpět na transfuzní oddělení (krevní banku) pouze výjimečně, a to po předchozí domluvě.</w:t>
      </w:r>
    </w:p>
    <w:p w:rsidR="0093066B" w:rsidRDefault="0093066B" w:rsidP="00B108EF">
      <w:pPr>
        <w:pStyle w:val="Zkladntextodsazen"/>
        <w:numPr>
          <w:ilvl w:val="0"/>
          <w:numId w:val="43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93066B" w:rsidRDefault="0093066B" w:rsidP="00B108EF">
      <w:pPr>
        <w:pStyle w:val="Zkladntextodsazen"/>
        <w:numPr>
          <w:ilvl w:val="0"/>
          <w:numId w:val="43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93066B" w:rsidRDefault="0093066B" w:rsidP="00B108EF">
      <w:pPr>
        <w:pStyle w:val="Zkladntextodsazen"/>
        <w:numPr>
          <w:ilvl w:val="0"/>
          <w:numId w:val="43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Hlásit je třeba nežádoucí reakce související s podáním transfuze, vzniklé během transfuze i po ní nebo podezření na ně. </w:t>
      </w:r>
    </w:p>
    <w:p w:rsidR="0093066B" w:rsidRPr="001D5A28" w:rsidRDefault="0093066B" w:rsidP="001D5A28">
      <w:pPr>
        <w:pStyle w:val="Zkladntextodsazen"/>
        <w:numPr>
          <w:ilvl w:val="0"/>
          <w:numId w:val="43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1D5A28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1D5A28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1D5A28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1D5A28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1D5A28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1D5A28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1D5A28">
        <w:rPr>
          <w:rFonts w:ascii="Arial" w:hAnsi="Arial"/>
          <w:color w:val="auto"/>
          <w:sz w:val="14"/>
          <w:szCs w:val="14"/>
          <w:lang w:val="cs-CZ"/>
        </w:rPr>
        <w:t>9) z důvodu zajištění hemovigilance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1D5A28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1D5A28"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</w:t>
      </w:r>
      <w:r w:rsidR="00E27413">
        <w:rPr>
          <w:rFonts w:ascii="Arial" w:hAnsi="Arial" w:cs="Arial"/>
          <w:color w:val="auto"/>
          <w:sz w:val="14"/>
          <w:szCs w:val="14"/>
          <w:lang w:val="cs-CZ"/>
        </w:rPr>
        <w:t xml:space="preserve">   </w:t>
      </w:r>
      <w:r w:rsidRPr="001D5A28">
        <w:rPr>
          <w:rFonts w:ascii="Arial" w:hAnsi="Arial" w:cs="Arial"/>
          <w:color w:val="auto"/>
          <w:sz w:val="14"/>
          <w:szCs w:val="14"/>
          <w:lang w:val="cs-CZ"/>
        </w:rPr>
        <w:t>se jedná o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1D5A28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93066B" w:rsidRDefault="0093066B">
      <w:pPr>
        <w:pStyle w:val="Zkladntextodsazen"/>
        <w:jc w:val="both"/>
        <w:rPr>
          <w:rFonts w:ascii="Arial" w:hAnsi="Arial"/>
          <w:color w:val="auto"/>
          <w:sz w:val="16"/>
          <w:lang w:val="cs-CZ"/>
        </w:rPr>
      </w:pPr>
    </w:p>
    <w:p w:rsidR="0093066B" w:rsidRDefault="0093066B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93066B" w:rsidRDefault="0093066B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různé typy nesnášenlivosti plazmy (nemusí to platit pro transfuzní přípravky s nízkým obsahem plazmy). </w:t>
      </w:r>
    </w:p>
    <w:p w:rsidR="0093066B" w:rsidRDefault="0093066B">
      <w:pPr>
        <w:pStyle w:val="Seznamsodrkami"/>
        <w:numPr>
          <w:ilvl w:val="0"/>
          <w:numId w:val="0"/>
        </w:numPr>
        <w:jc w:val="both"/>
        <w:rPr>
          <w:rFonts w:ascii="Arial" w:hAnsi="Arial"/>
          <w:b/>
          <w:sz w:val="14"/>
          <w:u w:val="single"/>
        </w:rPr>
      </w:pPr>
    </w:p>
    <w:p w:rsidR="0093066B" w:rsidRDefault="0093066B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93066B" w:rsidRDefault="0093066B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uchovává v lednici při kontrolované teplotě  +</w:t>
      </w:r>
      <w:smartTag w:uri="urn:schemas-microsoft-com:office:smarttags" w:element="metricconverter">
        <w:smartTagPr>
          <w:attr w:name="ProductID" w:val="2 ﾰC"/>
        </w:smartTagPr>
        <w:r>
          <w:rPr>
            <w:rFonts w:ascii="Arial" w:hAnsi="Arial"/>
            <w:sz w:val="14"/>
          </w:rPr>
          <w:t>2 °C</w:t>
        </w:r>
      </w:smartTag>
      <w:r>
        <w:rPr>
          <w:rFonts w:ascii="Arial" w:hAnsi="Arial"/>
          <w:sz w:val="14"/>
        </w:rPr>
        <w:t xml:space="preserve"> až +</w:t>
      </w:r>
      <w:smartTag w:uri="urn:schemas-microsoft-com:office:smarttags" w:element="metricconverter">
        <w:smartTagPr>
          <w:attr w:name="ProductID" w:val="6 ﾰC"/>
        </w:smartTagPr>
        <w:r>
          <w:rPr>
            <w:rFonts w:ascii="Arial" w:hAnsi="Arial"/>
            <w:sz w:val="14"/>
          </w:rPr>
          <w:t>6 °C</w:t>
        </w:r>
      </w:smartTag>
      <w:r>
        <w:rPr>
          <w:rFonts w:ascii="Arial" w:hAnsi="Arial"/>
          <w:sz w:val="14"/>
        </w:rPr>
        <w:t>.</w:t>
      </w:r>
    </w:p>
    <w:p w:rsidR="0093066B" w:rsidRDefault="0093066B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42 dnů od odběru a je uvedena na štítku transfuzního přípravku.</w:t>
      </w:r>
    </w:p>
    <w:p w:rsidR="0093066B" w:rsidRDefault="0093066B">
      <w:pPr>
        <w:jc w:val="both"/>
        <w:rPr>
          <w:rFonts w:ascii="Arial" w:hAnsi="Arial"/>
          <w:b/>
          <w:i/>
          <w:sz w:val="14"/>
        </w:rPr>
      </w:pPr>
    </w:p>
    <w:p w:rsidR="0093066B" w:rsidRDefault="0093066B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93066B" w:rsidRDefault="0093066B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erytrocyty z jedné jednotky odebrané plné krve.</w:t>
      </w:r>
    </w:p>
    <w:p w:rsidR="0093066B" w:rsidRDefault="0093066B">
      <w:pPr>
        <w:jc w:val="both"/>
        <w:rPr>
          <w:rFonts w:ascii="Arial" w:hAnsi="Arial"/>
          <w:b/>
          <w:i/>
          <w:sz w:val="14"/>
        </w:rPr>
      </w:pPr>
    </w:p>
    <w:p w:rsidR="0093066B" w:rsidRDefault="0093066B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4E790F" w:rsidRPr="004E790F" w:rsidRDefault="0093066B" w:rsidP="004E790F">
      <w:pPr>
        <w:pStyle w:val="Nadpis4"/>
        <w:keepNext w:val="0"/>
        <w:tabs>
          <w:tab w:val="num" w:pos="680"/>
          <w:tab w:val="left" w:pos="1077"/>
          <w:tab w:val="num" w:pos="1140"/>
        </w:tabs>
        <w:suppressAutoHyphens/>
        <w:spacing w:before="80"/>
        <w:jc w:val="both"/>
        <w:rPr>
          <w:rFonts w:ascii="Arial" w:hAnsi="Arial" w:cs="Arial"/>
          <w:b w:val="0"/>
          <w:i w:val="0"/>
          <w:color w:val="auto"/>
          <w:sz w:val="14"/>
        </w:rPr>
      </w:pPr>
      <w:r w:rsidRPr="004E790F">
        <w:rPr>
          <w:rFonts w:ascii="Arial" w:hAnsi="Arial"/>
          <w:b w:val="0"/>
          <w:i w:val="0"/>
          <w:color w:val="auto"/>
          <w:sz w:val="14"/>
        </w:rPr>
        <w:t xml:space="preserve">Zajišťuje se v předem vychlazených uzavřených termoboxech s chladící vložkou, aby byla zajištěna požadovaná přepravní teplota. </w:t>
      </w:r>
      <w:r w:rsidR="004E790F" w:rsidRPr="004E790F">
        <w:rPr>
          <w:rFonts w:ascii="Arial" w:hAnsi="Arial" w:cs="Arial"/>
          <w:b w:val="0"/>
          <w:i w:val="0"/>
          <w:color w:val="auto"/>
          <w:sz w:val="14"/>
        </w:rPr>
        <w:t>Během přepravy má být zajištěna teplota +</w:t>
      </w:r>
      <w:smartTag w:uri="urn:schemas-microsoft-com:office:smarttags" w:element="metricconverter">
        <w:smartTagPr>
          <w:attr w:name="ProductID" w:val="2 °C"/>
        </w:smartTagPr>
        <w:r w:rsidR="004E790F" w:rsidRPr="004E790F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4E790F" w:rsidRPr="004E790F">
        <w:rPr>
          <w:rFonts w:ascii="Arial" w:hAnsi="Arial" w:cs="Arial"/>
          <w:b w:val="0"/>
          <w:i w:val="0"/>
          <w:color w:val="auto"/>
          <w:sz w:val="14"/>
        </w:rPr>
        <w:t xml:space="preserve"> až +10 °C (+1,6 °C až </w:t>
      </w:r>
      <w:r w:rsidR="00E27413">
        <w:rPr>
          <w:rFonts w:ascii="Arial" w:hAnsi="Arial" w:cs="Arial"/>
          <w:b w:val="0"/>
          <w:i w:val="0"/>
          <w:color w:val="auto"/>
          <w:sz w:val="14"/>
        </w:rPr>
        <w:t xml:space="preserve"> </w:t>
      </w:r>
      <w:r w:rsidR="004E790F" w:rsidRPr="004E790F">
        <w:rPr>
          <w:rFonts w:ascii="Arial" w:hAnsi="Arial" w:cs="Arial"/>
          <w:b w:val="0"/>
          <w:i w:val="0"/>
          <w:color w:val="auto"/>
          <w:sz w:val="14"/>
        </w:rPr>
        <w:t>+10,4 °C) pokud je doba transportu maximálně 24 hodin, při době transportu &gt;24 hodin se erytrocytární TP transportují při teplotě +</w:t>
      </w:r>
      <w:smartTag w:uri="urn:schemas-microsoft-com:office:smarttags" w:element="metricconverter">
        <w:smartTagPr>
          <w:attr w:name="ProductID" w:val="2 °C"/>
        </w:smartTagPr>
        <w:r w:rsidR="004E790F" w:rsidRPr="004E790F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4E790F" w:rsidRPr="004E790F">
        <w:rPr>
          <w:rFonts w:ascii="Arial" w:hAnsi="Arial" w:cs="Arial"/>
          <w:b w:val="0"/>
          <w:i w:val="0"/>
          <w:color w:val="auto"/>
          <w:sz w:val="14"/>
        </w:rPr>
        <w:t xml:space="preserve"> až +6 °C (+1,6 °C až +6,4 °C).</w:t>
      </w:r>
      <w:bookmarkStart w:id="0" w:name="_GoBack"/>
      <w:bookmarkEnd w:id="0"/>
    </w:p>
    <w:p w:rsidR="0093066B" w:rsidRPr="004D6841" w:rsidRDefault="0093066B" w:rsidP="00CD2F48">
      <w:pPr>
        <w:jc w:val="both"/>
        <w:rPr>
          <w:rFonts w:ascii="Arial" w:hAnsi="Arial"/>
          <w:sz w:val="14"/>
        </w:rPr>
      </w:pPr>
    </w:p>
    <w:p w:rsidR="0093066B" w:rsidRDefault="0093066B" w:rsidP="00CD2F48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93066B" w:rsidRDefault="0093066B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93066B" w:rsidRDefault="0093066B" w:rsidP="004E790F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  <w:r w:rsidR="00D10E2D" w:rsidRPr="00D10E2D">
        <w:rPr>
          <w:rFonts w:ascii="Arial" w:hAnsi="Arial"/>
          <w:b/>
          <w:sz w:val="14"/>
        </w:rPr>
        <w:t xml:space="preserve">  </w:t>
      </w:r>
      <w:r w:rsidR="00E27413">
        <w:rPr>
          <w:rFonts w:ascii="Arial" w:hAnsi="Arial"/>
          <w:sz w:val="14"/>
        </w:rPr>
        <w:t>Srpen</w:t>
      </w:r>
      <w:r>
        <w:rPr>
          <w:rFonts w:ascii="Arial" w:hAnsi="Arial"/>
          <w:sz w:val="14"/>
        </w:rPr>
        <w:t xml:space="preserve"> 201</w:t>
      </w:r>
      <w:r w:rsidR="004E790F">
        <w:rPr>
          <w:rFonts w:ascii="Arial" w:hAnsi="Arial"/>
          <w:sz w:val="14"/>
        </w:rPr>
        <w:t>8</w:t>
      </w:r>
      <w:r>
        <w:rPr>
          <w:rFonts w:ascii="Arial" w:hAnsi="Arial"/>
          <w:sz w:val="14"/>
        </w:rPr>
        <w:t xml:space="preserve"> – verze č. 0</w:t>
      </w:r>
      <w:r w:rsidR="004E790F">
        <w:rPr>
          <w:rFonts w:ascii="Arial" w:hAnsi="Arial"/>
          <w:sz w:val="14"/>
        </w:rPr>
        <w:t>6</w:t>
      </w:r>
    </w:p>
    <w:sectPr w:rsidR="0093066B" w:rsidSect="001247C8">
      <w:footerReference w:type="default" r:id="rId8"/>
      <w:pgSz w:w="8392" w:h="11907" w:code="11"/>
      <w:pgMar w:top="426" w:right="851" w:bottom="709" w:left="851" w:header="708" w:footer="5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40" w:rsidRDefault="003D7A40">
      <w:r>
        <w:separator/>
      </w:r>
    </w:p>
  </w:endnote>
  <w:endnote w:type="continuationSeparator" w:id="0">
    <w:p w:rsidR="003D7A40" w:rsidRDefault="003D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13" w:rsidRDefault="00E27413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D10E2D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D10E2D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40" w:rsidRDefault="003D7A40">
      <w:r>
        <w:separator/>
      </w:r>
    </w:p>
  </w:footnote>
  <w:footnote w:type="continuationSeparator" w:id="0">
    <w:p w:rsidR="003D7A40" w:rsidRDefault="003D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964EC7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156C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18504D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B6C6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CCF0A2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FB7FA8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4530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5CE3740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77511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D5046A6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773245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222450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E82BD0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5036EC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96C2303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BF27A78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DAC24E6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3FD463CC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2614F54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8937039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F1777AB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553E79F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6BC265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1D60DF5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62E82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48E61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8931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33"/>
  </w:num>
  <w:num w:numId="11">
    <w:abstractNumId w:val="6"/>
  </w:num>
  <w:num w:numId="12">
    <w:abstractNumId w:val="14"/>
  </w:num>
  <w:num w:numId="13">
    <w:abstractNumId w:val="8"/>
  </w:num>
  <w:num w:numId="14">
    <w:abstractNumId w:val="25"/>
  </w:num>
  <w:num w:numId="15">
    <w:abstractNumId w:val="18"/>
  </w:num>
  <w:num w:numId="16">
    <w:abstractNumId w:val="15"/>
  </w:num>
  <w:num w:numId="17">
    <w:abstractNumId w:val="22"/>
  </w:num>
  <w:num w:numId="18">
    <w:abstractNumId w:val="20"/>
  </w:num>
  <w:num w:numId="19">
    <w:abstractNumId w:val="19"/>
  </w:num>
  <w:num w:numId="20">
    <w:abstractNumId w:val="12"/>
  </w:num>
  <w:num w:numId="21">
    <w:abstractNumId w:val="7"/>
  </w:num>
  <w:num w:numId="22">
    <w:abstractNumId w:val="11"/>
  </w:num>
  <w:num w:numId="23">
    <w:abstractNumId w:val="17"/>
  </w:num>
  <w:num w:numId="24">
    <w:abstractNumId w:val="1"/>
  </w:num>
  <w:num w:numId="25">
    <w:abstractNumId w:val="29"/>
  </w:num>
  <w:num w:numId="26">
    <w:abstractNumId w:val="10"/>
  </w:num>
  <w:num w:numId="27">
    <w:abstractNumId w:val="30"/>
  </w:num>
  <w:num w:numId="28">
    <w:abstractNumId w:val="28"/>
  </w:num>
  <w:num w:numId="29">
    <w:abstractNumId w:val="2"/>
  </w:num>
  <w:num w:numId="30">
    <w:abstractNumId w:val="16"/>
  </w:num>
  <w:num w:numId="31">
    <w:abstractNumId w:val="4"/>
  </w:num>
  <w:num w:numId="32">
    <w:abstractNumId w:val="9"/>
  </w:num>
  <w:num w:numId="33">
    <w:abstractNumId w:val="27"/>
  </w:num>
  <w:num w:numId="34">
    <w:abstractNumId w:val="13"/>
  </w:num>
  <w:num w:numId="35">
    <w:abstractNumId w:val="24"/>
  </w:num>
  <w:num w:numId="36">
    <w:abstractNumId w:val="31"/>
  </w:num>
  <w:num w:numId="37">
    <w:abstractNumId w:val="26"/>
  </w:num>
  <w:num w:numId="38">
    <w:abstractNumId w:val="32"/>
  </w:num>
  <w:num w:numId="39">
    <w:abstractNumId w:val="21"/>
  </w:num>
  <w:num w:numId="40">
    <w:abstractNumId w:val="23"/>
  </w:num>
  <w:num w:numId="41">
    <w:abstractNumId w:val="5"/>
  </w:num>
  <w:num w:numId="42">
    <w:abstractNumId w:val="3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30F"/>
    <w:rsid w:val="000D295C"/>
    <w:rsid w:val="000D4989"/>
    <w:rsid w:val="000D7F8D"/>
    <w:rsid w:val="00103AF4"/>
    <w:rsid w:val="001247C8"/>
    <w:rsid w:val="00144C0F"/>
    <w:rsid w:val="001B74CF"/>
    <w:rsid w:val="001D5A28"/>
    <w:rsid w:val="00202844"/>
    <w:rsid w:val="0023396D"/>
    <w:rsid w:val="00294C39"/>
    <w:rsid w:val="002A3B3C"/>
    <w:rsid w:val="00304C45"/>
    <w:rsid w:val="003A597D"/>
    <w:rsid w:val="003C6750"/>
    <w:rsid w:val="003D7A40"/>
    <w:rsid w:val="00497270"/>
    <w:rsid w:val="004D6841"/>
    <w:rsid w:val="004E790F"/>
    <w:rsid w:val="00530528"/>
    <w:rsid w:val="00545ACC"/>
    <w:rsid w:val="005A79EE"/>
    <w:rsid w:val="005F0402"/>
    <w:rsid w:val="0064709C"/>
    <w:rsid w:val="00690903"/>
    <w:rsid w:val="006949F5"/>
    <w:rsid w:val="006C0312"/>
    <w:rsid w:val="00736486"/>
    <w:rsid w:val="007423FE"/>
    <w:rsid w:val="007D0036"/>
    <w:rsid w:val="007D130F"/>
    <w:rsid w:val="008A3C5C"/>
    <w:rsid w:val="0093066B"/>
    <w:rsid w:val="00982947"/>
    <w:rsid w:val="009A6542"/>
    <w:rsid w:val="00A07B35"/>
    <w:rsid w:val="00A234F8"/>
    <w:rsid w:val="00A77B4C"/>
    <w:rsid w:val="00AE0DAE"/>
    <w:rsid w:val="00B108EF"/>
    <w:rsid w:val="00B76D3A"/>
    <w:rsid w:val="00C373A6"/>
    <w:rsid w:val="00C40608"/>
    <w:rsid w:val="00CD2279"/>
    <w:rsid w:val="00CD2F48"/>
    <w:rsid w:val="00D10864"/>
    <w:rsid w:val="00D10E2D"/>
    <w:rsid w:val="00D50BBB"/>
    <w:rsid w:val="00DE16BE"/>
    <w:rsid w:val="00DE7515"/>
    <w:rsid w:val="00E04A7C"/>
    <w:rsid w:val="00E12A6A"/>
    <w:rsid w:val="00E27413"/>
    <w:rsid w:val="00E61248"/>
    <w:rsid w:val="00E800F6"/>
    <w:rsid w:val="00F27428"/>
    <w:rsid w:val="00F30F67"/>
    <w:rsid w:val="00F37072"/>
    <w:rsid w:val="00F84D60"/>
    <w:rsid w:val="00FD3552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0B43EC-749E-410B-8300-023A1464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3F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423FE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4E79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7423FE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274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F27428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7423FE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27428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7423FE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7423FE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27428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7423FE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F27428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7423FE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27428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7423FE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F27428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7423FE"/>
    <w:pPr>
      <w:jc w:val="both"/>
    </w:pPr>
    <w:rPr>
      <w:rFonts w:ascii="Arial" w:hAnsi="Arial"/>
      <w:sz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27428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7423FE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27428"/>
    <w:rPr>
      <w:rFonts w:cs="Times New Roman"/>
    </w:rPr>
  </w:style>
  <w:style w:type="paragraph" w:styleId="Zhlav">
    <w:name w:val="header"/>
    <w:basedOn w:val="Normln"/>
    <w:link w:val="ZhlavChar"/>
    <w:uiPriority w:val="99"/>
    <w:rsid w:val="00742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27428"/>
    <w:rPr>
      <w:rFonts w:cs="Times New Roman"/>
    </w:rPr>
  </w:style>
  <w:style w:type="paragraph" w:styleId="Zpat">
    <w:name w:val="footer"/>
    <w:basedOn w:val="Normln"/>
    <w:link w:val="ZpatChar"/>
    <w:uiPriority w:val="99"/>
    <w:rsid w:val="00742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27428"/>
    <w:rPr>
      <w:rFonts w:cs="Times New Roman"/>
    </w:rPr>
  </w:style>
  <w:style w:type="character" w:styleId="slostrnky">
    <w:name w:val="page number"/>
    <w:basedOn w:val="Standardnpsmoodstavce"/>
    <w:uiPriority w:val="99"/>
    <w:rsid w:val="007423F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44C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3C5C"/>
    <w:rPr>
      <w:rFonts w:cs="Times New Roman"/>
      <w:sz w:val="2"/>
    </w:rPr>
  </w:style>
  <w:style w:type="character" w:customStyle="1" w:styleId="Nadpis4Char">
    <w:name w:val="Nadpis 4 Char"/>
    <w:basedOn w:val="Standardnpsmoodstavce"/>
    <w:link w:val="Nadpis4"/>
    <w:semiHidden/>
    <w:rsid w:val="004E790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</dc:creator>
  <cp:lastModifiedBy>Hrabálek Petr, Ing.</cp:lastModifiedBy>
  <cp:revision>5</cp:revision>
  <cp:lastPrinted>2020-04-16T09:33:00Z</cp:lastPrinted>
  <dcterms:created xsi:type="dcterms:W3CDTF">2018-07-23T09:46:00Z</dcterms:created>
  <dcterms:modified xsi:type="dcterms:W3CDTF">2020-04-16T09:33:00Z</dcterms:modified>
</cp:coreProperties>
</file>