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3F" w:rsidRDefault="00BC5DEF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inline distT="0" distB="0" distL="0" distR="0" wp14:anchorId="20D4E067" wp14:editId="35E84F79">
            <wp:extent cx="1835150" cy="469900"/>
            <wp:effectExtent l="0" t="0" r="0" b="635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EF" w:rsidRDefault="00BC5DEF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</w:p>
    <w:p w:rsidR="0032023F" w:rsidRDefault="0032023F">
      <w:pPr>
        <w:pStyle w:val="Nzev"/>
        <w:jc w:val="left"/>
        <w:rPr>
          <w:rFonts w:ascii="Arial" w:hAnsi="Arial"/>
          <w:i/>
          <w:sz w:val="16"/>
          <w:u w:val="thick"/>
        </w:rPr>
      </w:pPr>
      <w:bookmarkStart w:id="0" w:name="_GoBack"/>
      <w:bookmarkEnd w:id="0"/>
      <w:r>
        <w:rPr>
          <w:rFonts w:ascii="Arial Black" w:hAnsi="Arial Black"/>
          <w:b w:val="0"/>
          <w:sz w:val="20"/>
          <w:u w:val="thick"/>
        </w:rPr>
        <w:t xml:space="preserve">Informace o transfuzním přípravku -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32023F" w:rsidRDefault="0032023F">
      <w:pPr>
        <w:jc w:val="center"/>
        <w:rPr>
          <w:b/>
          <w:sz w:val="16"/>
        </w:rPr>
      </w:pPr>
    </w:p>
    <w:p w:rsidR="0032023F" w:rsidRDefault="0032023F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1D71F2">
        <w:rPr>
          <w:rFonts w:ascii="Arial Narrow" w:hAnsi="Arial Narrow"/>
          <w:spacing w:val="8"/>
          <w:sz w:val="16"/>
        </w:rPr>
        <w:t xml:space="preserve">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32023F" w:rsidRDefault="0032023F">
      <w:pPr>
        <w:pStyle w:val="Zkladntext"/>
        <w:jc w:val="both"/>
        <w:rPr>
          <w:rFonts w:ascii="Arial Narrow" w:hAnsi="Arial Narrow"/>
          <w:spacing w:val="8"/>
          <w:sz w:val="16"/>
        </w:rPr>
      </w:pPr>
    </w:p>
    <w:p w:rsidR="0032023F" w:rsidRDefault="0032023F">
      <w:pPr>
        <w:pStyle w:val="Zkladntext"/>
        <w:jc w:val="left"/>
        <w:rPr>
          <w:sz w:val="18"/>
        </w:rPr>
      </w:pPr>
      <w:r>
        <w:rPr>
          <w:rFonts w:ascii="Arial Black" w:hAnsi="Arial Black"/>
          <w:i w:val="0"/>
          <w:caps/>
          <w:sz w:val="16"/>
          <w:u w:val="single"/>
        </w:rPr>
        <w:t>Název:</w:t>
      </w:r>
      <w:r>
        <w:rPr>
          <w:rFonts w:ascii="Arial" w:hAnsi="Arial"/>
          <w:sz w:val="24"/>
        </w:rPr>
        <w:t xml:space="preserve">     </w:t>
      </w:r>
      <w:r>
        <w:rPr>
          <w:rFonts w:ascii="Arial Black" w:hAnsi="Arial Black"/>
          <w:b/>
          <w:i w:val="0"/>
          <w:caps/>
          <w:sz w:val="18"/>
        </w:rPr>
        <w:t>Erytrocyty promyté</w:t>
      </w:r>
    </w:p>
    <w:p w:rsidR="0032023F" w:rsidRDefault="0032023F">
      <w:pPr>
        <w:pStyle w:val="Nadpis6"/>
        <w:tabs>
          <w:tab w:val="left" w:pos="709"/>
        </w:tabs>
        <w:rPr>
          <w:b w:val="0"/>
          <w:color w:val="auto"/>
          <w:sz w:val="16"/>
          <w:u w:val="single"/>
        </w:rPr>
      </w:pPr>
    </w:p>
    <w:p w:rsidR="0032023F" w:rsidRDefault="0032023F">
      <w:pPr>
        <w:pStyle w:val="Nadpis6"/>
        <w:tabs>
          <w:tab w:val="left" w:pos="709"/>
        </w:tabs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Zkratka:</w:t>
      </w:r>
      <w:r>
        <w:rPr>
          <w:rFonts w:ascii="Times New Roman" w:hAnsi="Times New Roman"/>
          <w:color w:val="auto"/>
          <w:sz w:val="22"/>
        </w:rPr>
        <w:t xml:space="preserve">  </w:t>
      </w:r>
      <w:r>
        <w:rPr>
          <w:color w:val="auto"/>
          <w:sz w:val="18"/>
        </w:rPr>
        <w:t>Ep</w:t>
      </w:r>
    </w:p>
    <w:p w:rsidR="0032023F" w:rsidRDefault="0032023F">
      <w:pPr>
        <w:jc w:val="both"/>
      </w:pP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32023F" w:rsidRDefault="0032023F">
      <w:pPr>
        <w:jc w:val="both"/>
        <w:rPr>
          <w:caps/>
          <w:sz w:val="14"/>
        </w:rPr>
      </w:pP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CPD,</w:t>
      </w:r>
    </w:p>
    <w:p w:rsidR="0032023F" w:rsidRDefault="0032023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resuspenzní roztok SAGM 100 ml,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hematokrit: 0,65 – 0,75,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 xml:space="preserve">hemoglobin: minimálně 40 g/T.U., </w:t>
      </w:r>
    </w:p>
    <w:p w:rsidR="0032023F" w:rsidRDefault="0032023F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 xml:space="preserve">obsah bílkovin konečného supernatantu: nižší než 0,5 </w:t>
      </w:r>
      <w:r w:rsidRPr="006D3411">
        <w:t>g</w:t>
      </w:r>
      <w:r>
        <w:t>/T.U.</w:t>
      </w:r>
    </w:p>
    <w:p w:rsidR="0032023F" w:rsidRDefault="0032023F">
      <w:pPr>
        <w:pStyle w:val="Zkladntextodsazen3"/>
        <w:ind w:left="0"/>
        <w:jc w:val="both"/>
      </w:pPr>
    </w:p>
    <w:p w:rsidR="0032023F" w:rsidRDefault="0032023F">
      <w:pPr>
        <w:jc w:val="both"/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sz w:val="14"/>
        </w:rPr>
      </w:pPr>
      <w:r w:rsidRPr="007A17A4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0007917 + 0107949 </w:t>
      </w:r>
    </w:p>
    <w:p w:rsidR="0032023F" w:rsidRDefault="0032023F" w:rsidP="007A17A4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0007955 + 0107949</w:t>
      </w:r>
    </w:p>
    <w:p w:rsidR="0032023F" w:rsidRPr="007A17A4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</w:t>
      </w:r>
    </w:p>
    <w:p w:rsidR="0032023F" w:rsidRDefault="0032023F">
      <w:pPr>
        <w:jc w:val="both"/>
        <w:rPr>
          <w:rFonts w:ascii="Arial" w:hAnsi="Arial"/>
          <w:snapToGrid w:val="0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EP je koncentrát erytrocytů získaný z plné krve odstředěním, odstraněním plazmy a buffy-coatu (= vrstvy leukocytů a trombocytů) s následným opakovaným promytím erytrocytů fyziologickým roztokem nebo koncentrát erytrocytů získaný z plné krve in-line filtrované odstředěním, odstraněním plazmy s následným opakovaným promytím erytrocytů fyziologickým roztokem. Procesem promytí fyziologickým roztokem dojde ke snížení obsahu plazmatických bílkovin konečného supernatantu.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Pr="004D3F46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sz w:val="14"/>
        </w:rPr>
        <w:tab/>
        <w:t>1 T.U.: 280 ml ± 50 ml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32023F" w:rsidRDefault="003202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substituce či náhrada erytrocytů u nemocných s protilátkami proti plazmatickým bílkovinám, obzvláště proti IgA,</w:t>
      </w:r>
    </w:p>
    <w:p w:rsidR="0032023F" w:rsidRDefault="003202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b/>
          <w:sz w:val="14"/>
          <w:u w:val="single"/>
        </w:rPr>
      </w:pPr>
      <w:r>
        <w:rPr>
          <w:rFonts w:ascii="Arial" w:hAnsi="Arial"/>
          <w:sz w:val="14"/>
        </w:rPr>
        <w:t>při výskytu těžké alergické reakce v anamnéze v souvislosti s aplikací transfuzního přípravku.</w:t>
      </w:r>
    </w:p>
    <w:p w:rsidR="0032023F" w:rsidRDefault="0032023F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32023F" w:rsidRDefault="0032023F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32023F" w:rsidRDefault="0032023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32023F" w:rsidRDefault="0032023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32023F" w:rsidRDefault="0032023F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32023F" w:rsidRDefault="0032023F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      a screeningová vyšetření,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potransfuzní purpura,</w:t>
      </w:r>
    </w:p>
    <w:p w:rsidR="0032023F" w:rsidRDefault="0032023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32023F" w:rsidRDefault="0032023F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EP zlepšuje hematokrit u dospělého přibližně o 0,2. Při náhlém krvácení se nejdříve podávají krystaloidy, koloidy a krevní transfuze až následně.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musí podávat intravenózně přes filtr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dokumentace, čísla a typu transfuzního přípravku, doby použitelnosti, skupiny v AB0 a RhD systému.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Provést povinnou zajišťovací zkoušku. 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Před a po transfuzi zkontrolovat u pacienta TK,  puls, tělesnou teplotu.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32023F" w:rsidRDefault="0032023F">
      <w:pPr>
        <w:pStyle w:val="Seznamsodrkami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Upozornění: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Kompatibilita přípravku s uvažovaným příjemcem se musí ověřit povinným předtransfuzním      vyšetřením.</w:t>
      </w:r>
      <w:r>
        <w:rPr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>Toto vyšetření platí pouze 72 hodin, pak je nutno vyšetření zopakovat.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lze vrátit zpět na transfuzní oddělení (krevní banku) pouze výjimečně, a to po předchozí domluvě.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32023F" w:rsidRDefault="0032023F" w:rsidP="004D3F46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 nebo podezření na ně.</w:t>
      </w:r>
    </w:p>
    <w:p w:rsidR="0032023F" w:rsidRPr="007A17A4" w:rsidRDefault="0032023F" w:rsidP="007A17A4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7A17A4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7A17A4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7A17A4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32023F" w:rsidRDefault="0032023F" w:rsidP="007A17A4">
      <w:pPr>
        <w:pStyle w:val="Zkladntextodsazen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</w:p>
    <w:p w:rsidR="0032023F" w:rsidRDefault="0032023F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  <w:r>
        <w:rPr>
          <w:rFonts w:ascii="Arial" w:hAnsi="Arial"/>
          <w:sz w:val="14"/>
        </w:rPr>
        <w:t xml:space="preserve"> 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+6 </w:t>
      </w:r>
      <w:r>
        <w:rPr>
          <w:rFonts w:ascii="Arial" w:hAnsi="Arial"/>
          <w:sz w:val="14"/>
          <w:szCs w:val="14"/>
        </w:rPr>
        <w:sym w:font="Symbol" w:char="F0B0"/>
      </w:r>
      <w:r>
        <w:rPr>
          <w:rFonts w:ascii="Arial" w:hAnsi="Arial"/>
          <w:sz w:val="14"/>
        </w:rPr>
        <w:t>C. Doba uchovávání po promytí by měla být co nejkratší, maximálně 24 hodin.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i/>
          <w:sz w:val="14"/>
        </w:rPr>
        <w:t>Doba použitelnosti je 24 hodin a je uvedena na štítku transfuzního přípravku</w:t>
      </w:r>
      <w:r>
        <w:rPr>
          <w:rFonts w:ascii="Arial" w:hAnsi="Arial"/>
          <w:sz w:val="14"/>
        </w:rPr>
        <w:t>.</w:t>
      </w:r>
    </w:p>
    <w:p w:rsidR="0032023F" w:rsidRDefault="0032023F">
      <w:pPr>
        <w:jc w:val="both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Balení:</w:t>
      </w:r>
    </w:p>
    <w:p w:rsidR="0032023F" w:rsidRDefault="0032023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32023F" w:rsidRDefault="0032023F">
      <w:pPr>
        <w:pStyle w:val="Zkladntext3"/>
        <w:rPr>
          <w:rFonts w:ascii="Arial" w:hAnsi="Arial"/>
          <w:sz w:val="14"/>
        </w:rPr>
      </w:pPr>
    </w:p>
    <w:p w:rsidR="0032023F" w:rsidRDefault="0032023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Transport:</w:t>
      </w:r>
    </w:p>
    <w:p w:rsidR="00E83762" w:rsidRPr="00E83762" w:rsidRDefault="0032023F" w:rsidP="00E83762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E83762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E83762" w:rsidRPr="00E83762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1D71F2">
        <w:rPr>
          <w:rFonts w:ascii="Arial" w:hAnsi="Arial" w:cs="Arial"/>
          <w:b w:val="0"/>
          <w:i w:val="0"/>
          <w:color w:val="auto"/>
          <w:sz w:val="14"/>
        </w:rPr>
        <w:t xml:space="preserve">  </w:t>
      </w:r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>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E83762" w:rsidRPr="00E83762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E83762" w:rsidRPr="00E83762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32023F" w:rsidRDefault="0032023F" w:rsidP="00E83762">
      <w:pPr>
        <w:jc w:val="both"/>
        <w:rPr>
          <w:rFonts w:ascii="Arial" w:hAnsi="Arial"/>
          <w:b/>
          <w:sz w:val="14"/>
        </w:rPr>
      </w:pPr>
    </w:p>
    <w:p w:rsidR="0032023F" w:rsidRDefault="0032023F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Datum poslední revize:</w:t>
      </w:r>
    </w:p>
    <w:p w:rsidR="0032023F" w:rsidRDefault="001D71F2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Srpen</w:t>
      </w:r>
      <w:r w:rsidR="00E83762">
        <w:rPr>
          <w:rFonts w:ascii="Arial" w:hAnsi="Arial"/>
          <w:color w:val="auto"/>
          <w:sz w:val="14"/>
          <w:lang w:val="cs-CZ"/>
        </w:rPr>
        <w:t xml:space="preserve"> </w:t>
      </w:r>
      <w:r w:rsidR="0032023F">
        <w:rPr>
          <w:rFonts w:ascii="Arial" w:hAnsi="Arial"/>
          <w:color w:val="auto"/>
          <w:sz w:val="14"/>
          <w:lang w:val="cs-CZ"/>
        </w:rPr>
        <w:t xml:space="preserve"> 201</w:t>
      </w:r>
      <w:r w:rsidR="00E83762">
        <w:rPr>
          <w:rFonts w:ascii="Arial" w:hAnsi="Arial"/>
          <w:color w:val="auto"/>
          <w:sz w:val="14"/>
          <w:lang w:val="cs-CZ"/>
        </w:rPr>
        <w:t>8</w:t>
      </w:r>
      <w:r w:rsidR="0032023F">
        <w:rPr>
          <w:rFonts w:ascii="Arial" w:hAnsi="Arial"/>
          <w:color w:val="auto"/>
          <w:sz w:val="14"/>
          <w:lang w:val="cs-CZ"/>
        </w:rPr>
        <w:t xml:space="preserve"> – verze č. 0</w:t>
      </w:r>
      <w:r w:rsidR="00E83762">
        <w:rPr>
          <w:rFonts w:ascii="Arial" w:hAnsi="Arial"/>
          <w:color w:val="auto"/>
          <w:sz w:val="14"/>
          <w:lang w:val="cs-CZ"/>
        </w:rPr>
        <w:t>6</w:t>
      </w:r>
    </w:p>
    <w:p w:rsidR="0032023F" w:rsidRDefault="0032023F">
      <w:pPr>
        <w:jc w:val="both"/>
      </w:pPr>
    </w:p>
    <w:sectPr w:rsidR="0032023F" w:rsidSect="00BC5DEF">
      <w:footerReference w:type="default" r:id="rId8"/>
      <w:pgSz w:w="8392" w:h="11907" w:code="11"/>
      <w:pgMar w:top="426" w:right="851" w:bottom="709" w:left="851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AD" w:rsidRDefault="00904BAD">
      <w:r>
        <w:separator/>
      </w:r>
    </w:p>
  </w:endnote>
  <w:endnote w:type="continuationSeparator" w:id="0">
    <w:p w:rsidR="00904BAD" w:rsidRDefault="0090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3F" w:rsidRDefault="00D45D61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32023F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BC5DEF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32023F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32023F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BC5DEF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AD" w:rsidRDefault="00904BAD">
      <w:r>
        <w:separator/>
      </w:r>
    </w:p>
  </w:footnote>
  <w:footnote w:type="continuationSeparator" w:id="0">
    <w:p w:rsidR="00904BAD" w:rsidRDefault="0090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64EC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5D5"/>
    <w:multiLevelType w:val="hybridMultilevel"/>
    <w:tmpl w:val="C526F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0309"/>
    <w:multiLevelType w:val="multilevel"/>
    <w:tmpl w:val="239ECF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65CAD"/>
    <w:multiLevelType w:val="multilevel"/>
    <w:tmpl w:val="69BA5A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555140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6"/>
  </w:num>
  <w:num w:numId="17">
    <w:abstractNumId w:val="9"/>
  </w:num>
  <w:num w:numId="18">
    <w:abstractNumId w:val="10"/>
  </w:num>
  <w:num w:numId="19">
    <w:abstractNumId w:val="12"/>
  </w:num>
  <w:num w:numId="20">
    <w:abstractNumId w:val="13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EEA"/>
    <w:rsid w:val="000414B1"/>
    <w:rsid w:val="001B7DC1"/>
    <w:rsid w:val="001D71F2"/>
    <w:rsid w:val="001F38D3"/>
    <w:rsid w:val="00236254"/>
    <w:rsid w:val="00236D28"/>
    <w:rsid w:val="002E49FD"/>
    <w:rsid w:val="0032023F"/>
    <w:rsid w:val="003525ED"/>
    <w:rsid w:val="003729F1"/>
    <w:rsid w:val="003C5C3D"/>
    <w:rsid w:val="0048705B"/>
    <w:rsid w:val="004D3F46"/>
    <w:rsid w:val="004D6841"/>
    <w:rsid w:val="004E673C"/>
    <w:rsid w:val="00590DD2"/>
    <w:rsid w:val="0068768E"/>
    <w:rsid w:val="006B0026"/>
    <w:rsid w:val="006D3411"/>
    <w:rsid w:val="00791F38"/>
    <w:rsid w:val="007A17A4"/>
    <w:rsid w:val="00845312"/>
    <w:rsid w:val="00904BAD"/>
    <w:rsid w:val="00A853B5"/>
    <w:rsid w:val="00AB4417"/>
    <w:rsid w:val="00AD6E3B"/>
    <w:rsid w:val="00AD7402"/>
    <w:rsid w:val="00B07BBA"/>
    <w:rsid w:val="00B318D4"/>
    <w:rsid w:val="00BC5DEF"/>
    <w:rsid w:val="00C07E10"/>
    <w:rsid w:val="00C10DE0"/>
    <w:rsid w:val="00C33EEA"/>
    <w:rsid w:val="00CC6EAC"/>
    <w:rsid w:val="00D116AE"/>
    <w:rsid w:val="00D42A42"/>
    <w:rsid w:val="00D45D61"/>
    <w:rsid w:val="00E12D1F"/>
    <w:rsid w:val="00E81F4C"/>
    <w:rsid w:val="00E83762"/>
    <w:rsid w:val="00ED1C1D"/>
    <w:rsid w:val="00F41778"/>
    <w:rsid w:val="00F5534C"/>
    <w:rsid w:val="00F80BAE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45F9D1-3286-46AC-93AE-C3B2CD6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0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D7402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E83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AD7402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25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525ED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AD7402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525ED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AD7402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AD7402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25ED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AD7402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525E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AD7402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25ED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AD7402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25ED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AD7402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525ED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D7402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25ED"/>
    <w:rPr>
      <w:rFonts w:cs="Times New Roman"/>
    </w:rPr>
  </w:style>
  <w:style w:type="paragraph" w:styleId="Zhlav">
    <w:name w:val="header"/>
    <w:basedOn w:val="Normln"/>
    <w:link w:val="ZhlavChar"/>
    <w:uiPriority w:val="99"/>
    <w:rsid w:val="00AD7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25ED"/>
    <w:rPr>
      <w:rFonts w:cs="Times New Roman"/>
    </w:rPr>
  </w:style>
  <w:style w:type="paragraph" w:styleId="Zpat">
    <w:name w:val="footer"/>
    <w:basedOn w:val="Normln"/>
    <w:link w:val="ZpatChar"/>
    <w:uiPriority w:val="99"/>
    <w:rsid w:val="00AD7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25ED"/>
    <w:rPr>
      <w:rFonts w:cs="Times New Roman"/>
    </w:rPr>
  </w:style>
  <w:style w:type="character" w:styleId="slostrnky">
    <w:name w:val="page number"/>
    <w:basedOn w:val="Standardnpsmoodstavce"/>
    <w:uiPriority w:val="99"/>
    <w:rsid w:val="00AD740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E6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1F4C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E837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849</Words>
  <Characters>5014</Characters>
  <Application>Microsoft Office Word</Application>
  <DocSecurity>0</DocSecurity>
  <Lines>41</Lines>
  <Paragraphs>11</Paragraphs>
  <ScaleCrop>false</ScaleCrop>
  <Company>FN Olomouc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- ČTĚTE POZORNĚ</dc:title>
  <dc:creator>FTO</dc:creator>
  <cp:lastModifiedBy>Hrabálek Petr, Ing.</cp:lastModifiedBy>
  <cp:revision>5</cp:revision>
  <cp:lastPrinted>2020-04-16T09:31:00Z</cp:lastPrinted>
  <dcterms:created xsi:type="dcterms:W3CDTF">2018-07-23T09:47:00Z</dcterms:created>
  <dcterms:modified xsi:type="dcterms:W3CDTF">2020-04-16T09:32:00Z</dcterms:modified>
</cp:coreProperties>
</file>