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0E" w:rsidRDefault="0061735A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-146050</wp:posOffset>
            </wp:positionH>
            <wp:positionV relativeFrom="margin">
              <wp:posOffset>-478790</wp:posOffset>
            </wp:positionV>
            <wp:extent cx="1645285" cy="626745"/>
            <wp:effectExtent l="19050" t="0" r="0" b="0"/>
            <wp:wrapNone/>
            <wp:docPr id="2" name="WordPictureWatermar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73" t="3198" r="60675" b="88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00E" w:rsidRDefault="0055200E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55200E" w:rsidRDefault="0055200E">
      <w:pPr>
        <w:jc w:val="both"/>
        <w:rPr>
          <w:b/>
          <w:sz w:val="16"/>
        </w:rPr>
      </w:pPr>
    </w:p>
    <w:p w:rsidR="0055200E" w:rsidRDefault="0055200E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</w:t>
      </w:r>
      <w:proofErr w:type="gramStart"/>
      <w:r>
        <w:rPr>
          <w:rFonts w:ascii="Arial Narrow" w:hAnsi="Arial Narrow"/>
          <w:spacing w:val="8"/>
          <w:sz w:val="16"/>
        </w:rPr>
        <w:t xml:space="preserve">postupů </w:t>
      </w:r>
      <w:r w:rsidR="00024ECB">
        <w:rPr>
          <w:rFonts w:ascii="Arial Narrow" w:hAnsi="Arial Narrow"/>
          <w:spacing w:val="8"/>
          <w:sz w:val="16"/>
        </w:rPr>
        <w:t xml:space="preserve">       </w:t>
      </w:r>
      <w:r>
        <w:rPr>
          <w:rFonts w:ascii="Arial Narrow" w:hAnsi="Arial Narrow"/>
          <w:spacing w:val="8"/>
          <w:sz w:val="16"/>
        </w:rPr>
        <w:t>pro</w:t>
      </w:r>
      <w:proofErr w:type="gramEnd"/>
      <w:r>
        <w:rPr>
          <w:rFonts w:ascii="Arial Narrow" w:hAnsi="Arial Narrow"/>
          <w:spacing w:val="8"/>
          <w:sz w:val="16"/>
        </w:rPr>
        <w:t xml:space="preserve">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55200E" w:rsidRDefault="0055200E">
      <w:pPr>
        <w:pStyle w:val="Zkladntext"/>
        <w:jc w:val="both"/>
        <w:rPr>
          <w:rFonts w:ascii="Arial Black" w:hAnsi="Arial Black"/>
          <w:b/>
          <w:spacing w:val="8"/>
          <w:sz w:val="16"/>
        </w:rPr>
      </w:pPr>
      <w:r>
        <w:t xml:space="preserve">                   </w:t>
      </w:r>
    </w:p>
    <w:p w:rsidR="0055200E" w:rsidRDefault="0055200E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Erytrocyty resuspendované</w:t>
      </w:r>
    </w:p>
    <w:p w:rsidR="0055200E" w:rsidRDefault="0055200E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ER</w:t>
      </w:r>
    </w:p>
    <w:p w:rsidR="0055200E" w:rsidRPr="00AF3803" w:rsidRDefault="0055200E">
      <w:pPr>
        <w:rPr>
          <w:sz w:val="16"/>
          <w:szCs w:val="16"/>
        </w:rPr>
      </w:pP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oddělení Fakultní nemocnice Olomouc, I. P. Pavlova 185/6, </w:t>
      </w:r>
      <w:proofErr w:type="gramStart"/>
      <w:r>
        <w:rPr>
          <w:rFonts w:ascii="Arial" w:hAnsi="Arial"/>
          <w:sz w:val="14"/>
        </w:rPr>
        <w:t>779 00  Olomouc</w:t>
      </w:r>
      <w:proofErr w:type="gramEnd"/>
      <w:r>
        <w:rPr>
          <w:rFonts w:ascii="Arial" w:hAnsi="Arial"/>
          <w:sz w:val="14"/>
        </w:rPr>
        <w:t xml:space="preserve"> – C 2059.</w:t>
      </w:r>
    </w:p>
    <w:p w:rsidR="0055200E" w:rsidRDefault="0055200E">
      <w:pPr>
        <w:jc w:val="both"/>
        <w:rPr>
          <w:caps/>
          <w:sz w:val="14"/>
        </w:rPr>
      </w:pP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55200E" w:rsidRDefault="0055200E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55200E" w:rsidRDefault="0055200E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CPD,</w:t>
      </w:r>
    </w:p>
    <w:p w:rsidR="0055200E" w:rsidRDefault="0055200E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resuspenzní</w:t>
      </w:r>
      <w:proofErr w:type="spellEnd"/>
      <w:r>
        <w:rPr>
          <w:rFonts w:ascii="Arial" w:hAnsi="Arial"/>
          <w:sz w:val="14"/>
        </w:rPr>
        <w:t xml:space="preserve"> roztok SAGM 100 ml,</w:t>
      </w:r>
    </w:p>
    <w:p w:rsidR="0055200E" w:rsidRDefault="0055200E">
      <w:pPr>
        <w:pStyle w:val="Zkladntextodsazen3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proofErr w:type="gramStart"/>
      <w:r>
        <w:t>hematokrit :0,50</w:t>
      </w:r>
      <w:proofErr w:type="gramEnd"/>
      <w:r>
        <w:t xml:space="preserve"> – 0,70,</w:t>
      </w:r>
    </w:p>
    <w:p w:rsidR="0055200E" w:rsidRDefault="0055200E">
      <w:pPr>
        <w:pStyle w:val="Zkladntextodsazen3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>
        <w:t>hemoglobin: minimálně 45 g/T.U.,</w:t>
      </w:r>
    </w:p>
    <w:p w:rsidR="0055200E" w:rsidRDefault="0055200E">
      <w:pPr>
        <w:pStyle w:val="Zkladntextodsazen3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>
        <w:t>hemolýza na konci doby použitelnosti méně než 0,8% erytrocytové hmoty.</w:t>
      </w: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55200E" w:rsidRDefault="0055200E">
      <w:pPr>
        <w:jc w:val="both"/>
        <w:rPr>
          <w:rFonts w:ascii="Arial" w:hAnsi="Arial"/>
          <w:sz w:val="14"/>
        </w:rPr>
      </w:pPr>
    </w:p>
    <w:p w:rsidR="0055200E" w:rsidRPr="00553B1C" w:rsidRDefault="0055200E">
      <w:pPr>
        <w:jc w:val="both"/>
        <w:rPr>
          <w:rFonts w:ascii="Arial" w:hAnsi="Arial"/>
          <w:sz w:val="14"/>
        </w:rPr>
      </w:pPr>
      <w:r w:rsidRPr="00553B1C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 0007905</w:t>
      </w:r>
    </w:p>
    <w:p w:rsidR="0055200E" w:rsidRDefault="0055200E">
      <w:pPr>
        <w:pStyle w:val="Nadpis1"/>
        <w:rPr>
          <w:snapToGrid w:val="0"/>
        </w:rPr>
      </w:pPr>
    </w:p>
    <w:p w:rsidR="0055200E" w:rsidRDefault="0055200E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ER je koncentrát erytrocytů získaný z plné krve centrifugací, odstraněním plazmy a následnou </w:t>
      </w:r>
      <w:proofErr w:type="spellStart"/>
      <w:r>
        <w:rPr>
          <w:rFonts w:ascii="Arial" w:hAnsi="Arial"/>
          <w:sz w:val="14"/>
        </w:rPr>
        <w:t>resuspenzí</w:t>
      </w:r>
      <w:proofErr w:type="spellEnd"/>
      <w:r>
        <w:rPr>
          <w:rFonts w:ascii="Arial" w:hAnsi="Arial"/>
          <w:sz w:val="14"/>
        </w:rPr>
        <w:t xml:space="preserve"> erytrocytů ve vhodném výživném roztoku. </w:t>
      </w:r>
    </w:p>
    <w:p w:rsidR="0055200E" w:rsidRDefault="0055200E">
      <w:pPr>
        <w:jc w:val="both"/>
        <w:rPr>
          <w:b/>
          <w:sz w:val="14"/>
          <w:u w:val="single"/>
        </w:rPr>
      </w:pPr>
    </w:p>
    <w:p w:rsidR="0055200E" w:rsidRPr="000B7039" w:rsidRDefault="0055200E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T.U.:</w:t>
      </w:r>
      <w:proofErr w:type="gramEnd"/>
      <w:r>
        <w:rPr>
          <w:rFonts w:ascii="Arial" w:hAnsi="Arial"/>
          <w:sz w:val="14"/>
        </w:rPr>
        <w:t xml:space="preserve"> 380 ml </w:t>
      </w:r>
      <w:r>
        <w:rPr>
          <w:rFonts w:ascii="Arial" w:hAnsi="Arial" w:cs="Arial"/>
          <w:sz w:val="14"/>
        </w:rPr>
        <w:t>±</w:t>
      </w:r>
      <w:r>
        <w:rPr>
          <w:rFonts w:ascii="Arial" w:hAnsi="Arial"/>
          <w:sz w:val="14"/>
        </w:rPr>
        <w:t xml:space="preserve"> 50 ml</w:t>
      </w:r>
    </w:p>
    <w:p w:rsidR="0055200E" w:rsidRDefault="0055200E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55200E" w:rsidRDefault="0055200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55200E" w:rsidRDefault="0055200E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Anémie, náhlá ztráta krve. </w:t>
      </w:r>
    </w:p>
    <w:p w:rsidR="0055200E" w:rsidRDefault="0055200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55200E" w:rsidRDefault="0055200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55200E" w:rsidRDefault="005520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relativní </w:t>
      </w:r>
      <w:proofErr w:type="spellStart"/>
      <w:r>
        <w:rPr>
          <w:rFonts w:ascii="Arial" w:hAnsi="Arial"/>
          <w:sz w:val="14"/>
        </w:rPr>
        <w:t>hypervolémie</w:t>
      </w:r>
      <w:proofErr w:type="spellEnd"/>
      <w:r>
        <w:rPr>
          <w:rFonts w:ascii="Arial" w:hAnsi="Arial"/>
          <w:sz w:val="14"/>
        </w:rPr>
        <w:t>,</w:t>
      </w:r>
    </w:p>
    <w:p w:rsidR="0055200E" w:rsidRDefault="005520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léčby,</w:t>
      </w:r>
    </w:p>
    <w:p w:rsidR="0055200E" w:rsidRDefault="005520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gramStart"/>
      <w:r>
        <w:rPr>
          <w:rFonts w:ascii="Arial" w:hAnsi="Arial"/>
          <w:sz w:val="14"/>
        </w:rPr>
        <w:t>různé  typy</w:t>
      </w:r>
      <w:proofErr w:type="gramEnd"/>
      <w:r>
        <w:rPr>
          <w:rFonts w:ascii="Arial" w:hAnsi="Arial"/>
          <w:sz w:val="14"/>
        </w:rPr>
        <w:t xml:space="preserve"> nesnášenlivosti plazmy,</w:t>
      </w:r>
    </w:p>
    <w:p w:rsidR="0055200E" w:rsidRDefault="005520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nesnášenlivost vlivem </w:t>
      </w: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způsobené inkompatibilitou </w:t>
      </w:r>
      <w:proofErr w:type="spellStart"/>
      <w:r>
        <w:rPr>
          <w:rFonts w:ascii="Arial" w:hAnsi="Arial"/>
          <w:sz w:val="14"/>
        </w:rPr>
        <w:t>leukocytárních</w:t>
      </w:r>
      <w:proofErr w:type="spellEnd"/>
      <w:r>
        <w:rPr>
          <w:rFonts w:ascii="Arial" w:hAnsi="Arial"/>
          <w:sz w:val="14"/>
        </w:rPr>
        <w:t xml:space="preserve"> antigenů,</w:t>
      </w:r>
    </w:p>
    <w:p w:rsidR="0055200E" w:rsidRDefault="005520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výměnné transfuze u novorozenců.</w:t>
      </w:r>
    </w:p>
    <w:p w:rsidR="0055200E" w:rsidRDefault="0055200E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třesavka),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proti HLA a erytrocytovým antigenům,</w:t>
      </w:r>
    </w:p>
    <w:p w:rsidR="0055200E" w:rsidRDefault="0055200E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</w:t>
      </w:r>
      <w:proofErr w:type="gramStart"/>
      <w:r>
        <w:rPr>
          <w:rFonts w:ascii="Arial" w:hAnsi="Arial"/>
          <w:sz w:val="14"/>
        </w:rPr>
        <w:t xml:space="preserve">dárců        a </w:t>
      </w:r>
      <w:proofErr w:type="spellStart"/>
      <w:r>
        <w:rPr>
          <w:rFonts w:ascii="Arial" w:hAnsi="Arial"/>
          <w:sz w:val="14"/>
        </w:rPr>
        <w:t>screeningová</w:t>
      </w:r>
      <w:proofErr w:type="spellEnd"/>
      <w:proofErr w:type="gramEnd"/>
      <w:r>
        <w:rPr>
          <w:rFonts w:ascii="Arial" w:hAnsi="Arial"/>
          <w:sz w:val="14"/>
        </w:rPr>
        <w:t xml:space="preserve"> vyšetření,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biochemické odchylky při masivní transfuzi, např. </w:t>
      </w:r>
      <w:proofErr w:type="spellStart"/>
      <w:r>
        <w:rPr>
          <w:rFonts w:ascii="Arial" w:hAnsi="Arial"/>
          <w:sz w:val="14"/>
        </w:rPr>
        <w:t>hyperkalémie</w:t>
      </w:r>
      <w:proofErr w:type="spellEnd"/>
      <w:r>
        <w:rPr>
          <w:rFonts w:ascii="Arial" w:hAnsi="Arial"/>
          <w:sz w:val="14"/>
        </w:rPr>
        <w:t>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transfuzí,</w:t>
      </w:r>
    </w:p>
    <w:p w:rsidR="0055200E" w:rsidRDefault="0055200E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jc w:val="center"/>
        <w:rPr>
          <w:rFonts w:ascii="Arial" w:hAnsi="Arial"/>
          <w:sz w:val="14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55200E" w:rsidRDefault="0055200E">
      <w:pPr>
        <w:jc w:val="both"/>
        <w:rPr>
          <w:rFonts w:ascii="Arial" w:hAnsi="Arial"/>
          <w:sz w:val="14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55200E" w:rsidRDefault="0055200E">
      <w:pPr>
        <w:pStyle w:val="Zkladntext3"/>
      </w:pPr>
      <w:r>
        <w:t>Dávkování určuje lékař. Obvykle se krevní transfuze podává při klinických známkách nedostatečného sycení kyslíkem. Jedna transfuzní jednotka ER zlepšuje hematokrit u dospělého přibližně o 0,2. Při náhlém krvácení se nejdříve podávají krystaloidy, koloidy a krevní transfuze až následně.</w:t>
      </w:r>
    </w:p>
    <w:p w:rsidR="0055200E" w:rsidRDefault="0055200E">
      <w:pPr>
        <w:pStyle w:val="Seznamsodrkami"/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</w:t>
      </w:r>
    </w:p>
    <w:p w:rsidR="0055200E" w:rsidRDefault="0055200E">
      <w:pPr>
        <w:pStyle w:val="Seznamsodrkami"/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55200E" w:rsidRDefault="0055200E">
      <w:pPr>
        <w:pStyle w:val="Seznamsodrkami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Kontrola dokumentace, čísla a typu transfuzního přípravku, doby použitelnosti, skupiny v AB0 a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systému.</w:t>
      </w:r>
    </w:p>
    <w:p w:rsidR="0055200E" w:rsidRDefault="0055200E">
      <w:pPr>
        <w:pStyle w:val="Seznamsodrkami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Provést povinnou zajišťovací zkoušku. </w:t>
      </w:r>
    </w:p>
    <w:p w:rsidR="0055200E" w:rsidRDefault="0055200E">
      <w:pPr>
        <w:pStyle w:val="Seznamsodrkami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Před a po transfuzi zkontrolovat u pacienta </w:t>
      </w:r>
      <w:proofErr w:type="gramStart"/>
      <w:r>
        <w:rPr>
          <w:rFonts w:ascii="Arial" w:hAnsi="Arial"/>
          <w:sz w:val="14"/>
        </w:rPr>
        <w:t>TK,  puls</w:t>
      </w:r>
      <w:proofErr w:type="gramEnd"/>
      <w:r>
        <w:rPr>
          <w:rFonts w:ascii="Arial" w:hAnsi="Arial"/>
          <w:sz w:val="14"/>
        </w:rPr>
        <w:t xml:space="preserve">, tělesnou teplotu.  </w:t>
      </w:r>
    </w:p>
    <w:p w:rsidR="0055200E" w:rsidRDefault="0055200E">
      <w:pPr>
        <w:pStyle w:val="Seznamsodrkami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55200E" w:rsidRDefault="0055200E">
      <w:pPr>
        <w:pStyle w:val="Seznamsodrkami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55200E" w:rsidRDefault="0055200E">
      <w:pPr>
        <w:pStyle w:val="Seznamsodrkami"/>
        <w:numPr>
          <w:ilvl w:val="0"/>
          <w:numId w:val="0"/>
        </w:numPr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Kompatibilita přípravku s uvažovaným příjemcem se musí ověřit povinným </w:t>
      </w:r>
      <w:proofErr w:type="spellStart"/>
      <w:r>
        <w:rPr>
          <w:rFonts w:ascii="Arial" w:hAnsi="Arial"/>
          <w:color w:val="auto"/>
          <w:sz w:val="14"/>
          <w:lang w:val="cs-CZ"/>
        </w:rPr>
        <w:t>předtransfuzním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     vyšetřením.</w:t>
      </w:r>
      <w:r>
        <w:rPr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>Toto vyšetření platí pouze 72 hodin, pak je nutno vyšetření zopakovat.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lze vrátit zpět na transfuzní oddělení (krevní banku) pouze výjimečně, a to po předchozí domluvě.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55200E" w:rsidRDefault="0055200E" w:rsidP="000B7039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55200E" w:rsidRPr="00553B1C" w:rsidRDefault="0055200E" w:rsidP="00553B1C">
      <w:pPr>
        <w:pStyle w:val="Zkladntextodsazen"/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553B1C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553B1C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553B1C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553B1C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53B1C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553B1C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553B1C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55200E" w:rsidRDefault="0055200E" w:rsidP="00553B1C">
      <w:pPr>
        <w:pStyle w:val="Zkladntextodsazen"/>
        <w:jc w:val="both"/>
        <w:rPr>
          <w:rFonts w:ascii="Arial" w:hAnsi="Arial"/>
          <w:color w:val="auto"/>
          <w:sz w:val="14"/>
          <w:szCs w:val="14"/>
          <w:lang w:val="cs-CZ"/>
        </w:rPr>
      </w:pP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uchovává v lednici při kontrolované </w:t>
      </w:r>
      <w:proofErr w:type="gramStart"/>
      <w:r>
        <w:rPr>
          <w:rFonts w:ascii="Arial" w:hAnsi="Arial"/>
          <w:sz w:val="14"/>
        </w:rPr>
        <w:t>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</w:t>
      </w:r>
      <w:proofErr w:type="gramEnd"/>
      <w:r>
        <w:rPr>
          <w:rFonts w:ascii="Arial" w:hAnsi="Arial"/>
          <w:sz w:val="14"/>
        </w:rPr>
        <w:t xml:space="preserve">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55200E" w:rsidRDefault="0055200E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55200E" w:rsidRDefault="0055200E">
      <w:pPr>
        <w:jc w:val="both"/>
        <w:rPr>
          <w:rFonts w:ascii="Arial" w:hAnsi="Arial"/>
          <w:b/>
          <w:i/>
          <w:sz w:val="14"/>
        </w:rPr>
      </w:pPr>
    </w:p>
    <w:p w:rsidR="0055200E" w:rsidRDefault="0055200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55200E" w:rsidRDefault="0055200E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 obsahuje</w:t>
      </w:r>
      <w:proofErr w:type="gramEnd"/>
      <w:r>
        <w:rPr>
          <w:rFonts w:ascii="Arial" w:hAnsi="Arial"/>
          <w:sz w:val="14"/>
        </w:rPr>
        <w:t xml:space="preserve"> erytrocyty z jedné jednotky odebrané plné krve.</w:t>
      </w:r>
    </w:p>
    <w:p w:rsidR="0055200E" w:rsidRDefault="0055200E">
      <w:pPr>
        <w:jc w:val="both"/>
        <w:rPr>
          <w:rFonts w:ascii="Arial" w:hAnsi="Arial"/>
          <w:b/>
          <w:i/>
          <w:sz w:val="14"/>
        </w:rPr>
      </w:pPr>
    </w:p>
    <w:p w:rsidR="0055200E" w:rsidRDefault="0055200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A122A8" w:rsidRPr="00A122A8" w:rsidRDefault="0055200E" w:rsidP="00A122A8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A122A8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A122A8" w:rsidRPr="00A122A8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A122A8" w:rsidRPr="00A122A8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A122A8" w:rsidRPr="00A122A8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+10,4 °C) pokud je doba transportu maximálně 24 hodin, při době transportu &gt;24 hodin se </w:t>
      </w:r>
      <w:proofErr w:type="spellStart"/>
      <w:r w:rsidR="00A122A8" w:rsidRPr="00A122A8">
        <w:rPr>
          <w:rFonts w:ascii="Arial" w:hAnsi="Arial" w:cs="Arial"/>
          <w:b w:val="0"/>
          <w:i w:val="0"/>
          <w:color w:val="auto"/>
          <w:sz w:val="14"/>
        </w:rPr>
        <w:t>erytrocytární</w:t>
      </w:r>
      <w:proofErr w:type="spellEnd"/>
      <w:r w:rsidR="00A122A8" w:rsidRPr="00A122A8">
        <w:rPr>
          <w:rFonts w:ascii="Arial" w:hAnsi="Arial" w:cs="Arial"/>
          <w:b w:val="0"/>
          <w:i w:val="0"/>
          <w:color w:val="auto"/>
          <w:sz w:val="14"/>
        </w:rPr>
        <w:t xml:space="preserve"> TP transportují při teplotě +</w:t>
      </w:r>
      <w:smartTag w:uri="urn:schemas-microsoft-com:office:smarttags" w:element="metricconverter">
        <w:smartTagPr>
          <w:attr w:name="ProductID" w:val="2 °C"/>
        </w:smartTagPr>
        <w:r w:rsidR="00A122A8" w:rsidRPr="00A122A8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A122A8" w:rsidRPr="00A122A8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55200E" w:rsidRPr="004D6841" w:rsidRDefault="0055200E" w:rsidP="0001108C">
      <w:pPr>
        <w:jc w:val="both"/>
        <w:rPr>
          <w:rFonts w:ascii="Arial" w:hAnsi="Arial"/>
          <w:sz w:val="14"/>
        </w:rPr>
      </w:pPr>
    </w:p>
    <w:p w:rsidR="0055200E" w:rsidRDefault="0055200E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55200E" w:rsidRDefault="0055200E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55200E" w:rsidRDefault="00024ECB" w:rsidP="00553B1C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55200E">
        <w:rPr>
          <w:rFonts w:ascii="Arial" w:hAnsi="Arial"/>
          <w:sz w:val="14"/>
        </w:rPr>
        <w:t xml:space="preserve"> 201</w:t>
      </w:r>
      <w:r w:rsidR="00A122A8">
        <w:rPr>
          <w:rFonts w:ascii="Arial" w:hAnsi="Arial"/>
          <w:sz w:val="14"/>
        </w:rPr>
        <w:t>8</w:t>
      </w:r>
      <w:r w:rsidR="0055200E">
        <w:rPr>
          <w:rFonts w:ascii="Arial" w:hAnsi="Arial"/>
          <w:sz w:val="14"/>
        </w:rPr>
        <w:t xml:space="preserve"> – verze č. 0</w:t>
      </w:r>
      <w:r w:rsidR="00A122A8">
        <w:rPr>
          <w:rFonts w:ascii="Arial" w:hAnsi="Arial"/>
          <w:sz w:val="14"/>
        </w:rPr>
        <w:t>4</w:t>
      </w:r>
    </w:p>
    <w:sectPr w:rsidR="0055200E" w:rsidSect="00FC1E1C">
      <w:footerReference w:type="default" r:id="rId8"/>
      <w:pgSz w:w="8392" w:h="11907" w:code="11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0E" w:rsidRDefault="0055200E">
      <w:r>
        <w:separator/>
      </w:r>
    </w:p>
  </w:endnote>
  <w:endnote w:type="continuationSeparator" w:id="0">
    <w:p w:rsidR="0055200E" w:rsidRDefault="005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0E" w:rsidRDefault="00322194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55200E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024ECB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55200E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55200E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024ECB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0E" w:rsidRDefault="0055200E">
      <w:r>
        <w:separator/>
      </w:r>
    </w:p>
  </w:footnote>
  <w:footnote w:type="continuationSeparator" w:id="0">
    <w:p w:rsidR="0055200E" w:rsidRDefault="005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64EC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156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8504D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4B6C6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CCF0A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FB7FA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15CE374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177511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D5046A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222450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E82BD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75036EC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96C2303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F27A7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DAC24E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FD463CC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614F54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937039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4F1777AB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56BC265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61D60DF5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62E82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3"/>
  </w:num>
  <w:num w:numId="9">
    <w:abstractNumId w:val="6"/>
  </w:num>
  <w:num w:numId="10">
    <w:abstractNumId w:val="14"/>
  </w:num>
  <w:num w:numId="11">
    <w:abstractNumId w:val="8"/>
  </w:num>
  <w:num w:numId="12">
    <w:abstractNumId w:val="25"/>
  </w:num>
  <w:num w:numId="13">
    <w:abstractNumId w:val="18"/>
  </w:num>
  <w:num w:numId="14">
    <w:abstractNumId w:val="15"/>
  </w:num>
  <w:num w:numId="15">
    <w:abstractNumId w:val="22"/>
  </w:num>
  <w:num w:numId="16">
    <w:abstractNumId w:val="20"/>
  </w:num>
  <w:num w:numId="17">
    <w:abstractNumId w:val="19"/>
  </w:num>
  <w:num w:numId="18">
    <w:abstractNumId w:val="12"/>
  </w:num>
  <w:num w:numId="19">
    <w:abstractNumId w:val="7"/>
  </w:num>
  <w:num w:numId="20">
    <w:abstractNumId w:val="11"/>
  </w:num>
  <w:num w:numId="21">
    <w:abstractNumId w:val="17"/>
  </w:num>
  <w:num w:numId="22">
    <w:abstractNumId w:val="1"/>
  </w:num>
  <w:num w:numId="23">
    <w:abstractNumId w:val="29"/>
  </w:num>
  <w:num w:numId="24">
    <w:abstractNumId w:val="10"/>
  </w:num>
  <w:num w:numId="25">
    <w:abstractNumId w:val="30"/>
  </w:num>
  <w:num w:numId="26">
    <w:abstractNumId w:val="28"/>
  </w:num>
  <w:num w:numId="27">
    <w:abstractNumId w:val="2"/>
  </w:num>
  <w:num w:numId="28">
    <w:abstractNumId w:val="16"/>
  </w:num>
  <w:num w:numId="29">
    <w:abstractNumId w:val="4"/>
  </w:num>
  <w:num w:numId="30">
    <w:abstractNumId w:val="9"/>
  </w:num>
  <w:num w:numId="31">
    <w:abstractNumId w:val="27"/>
  </w:num>
  <w:num w:numId="32">
    <w:abstractNumId w:val="13"/>
  </w:num>
  <w:num w:numId="33">
    <w:abstractNumId w:val="24"/>
  </w:num>
  <w:num w:numId="34">
    <w:abstractNumId w:val="31"/>
  </w:num>
  <w:num w:numId="35">
    <w:abstractNumId w:val="26"/>
  </w:num>
  <w:num w:numId="36">
    <w:abstractNumId w:val="32"/>
  </w:num>
  <w:num w:numId="37">
    <w:abstractNumId w:val="21"/>
  </w:num>
  <w:num w:numId="38">
    <w:abstractNumId w:val="23"/>
  </w:num>
  <w:num w:numId="39">
    <w:abstractNumId w:val="5"/>
  </w:num>
  <w:num w:numId="40">
    <w:abstractNumId w:val="31"/>
  </w:num>
  <w:num w:numId="41">
    <w:abstractNumId w:val="26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64F"/>
    <w:rsid w:val="000010A2"/>
    <w:rsid w:val="0001108C"/>
    <w:rsid w:val="00024ECB"/>
    <w:rsid w:val="000904F1"/>
    <w:rsid w:val="000B7039"/>
    <w:rsid w:val="000F4B83"/>
    <w:rsid w:val="001B168B"/>
    <w:rsid w:val="00233141"/>
    <w:rsid w:val="00280345"/>
    <w:rsid w:val="002A43B1"/>
    <w:rsid w:val="00322194"/>
    <w:rsid w:val="003A597D"/>
    <w:rsid w:val="003E39D7"/>
    <w:rsid w:val="003E4BD7"/>
    <w:rsid w:val="00432014"/>
    <w:rsid w:val="004537FD"/>
    <w:rsid w:val="004A3EAD"/>
    <w:rsid w:val="004B205B"/>
    <w:rsid w:val="004C2E4F"/>
    <w:rsid w:val="004D6841"/>
    <w:rsid w:val="004E65AC"/>
    <w:rsid w:val="0055200E"/>
    <w:rsid w:val="005531D5"/>
    <w:rsid w:val="00553B1C"/>
    <w:rsid w:val="00574E12"/>
    <w:rsid w:val="0061735A"/>
    <w:rsid w:val="0069466F"/>
    <w:rsid w:val="006C0BF4"/>
    <w:rsid w:val="00784991"/>
    <w:rsid w:val="00786A08"/>
    <w:rsid w:val="007E08B9"/>
    <w:rsid w:val="008B54A4"/>
    <w:rsid w:val="008F2286"/>
    <w:rsid w:val="0094243C"/>
    <w:rsid w:val="009942C5"/>
    <w:rsid w:val="00A122A8"/>
    <w:rsid w:val="00A27FED"/>
    <w:rsid w:val="00A7251F"/>
    <w:rsid w:val="00AE7E61"/>
    <w:rsid w:val="00AF3803"/>
    <w:rsid w:val="00B91864"/>
    <w:rsid w:val="00BA7566"/>
    <w:rsid w:val="00C31B74"/>
    <w:rsid w:val="00C52F9F"/>
    <w:rsid w:val="00CE315D"/>
    <w:rsid w:val="00D1664F"/>
    <w:rsid w:val="00D50630"/>
    <w:rsid w:val="00EC6452"/>
    <w:rsid w:val="00EE6AE1"/>
    <w:rsid w:val="00FC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9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52F9F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12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C52F9F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54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B54A4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C52F9F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B54A4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C52F9F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52F9F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B54A4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C52F9F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8B54A4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C52F9F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B54A4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C52F9F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B54A4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C52F9F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B54A4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C52F9F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B54A4"/>
    <w:rPr>
      <w:rFonts w:cs="Times New Roman"/>
    </w:rPr>
  </w:style>
  <w:style w:type="paragraph" w:styleId="Zhlav">
    <w:name w:val="header"/>
    <w:basedOn w:val="Normln"/>
    <w:link w:val="ZhlavChar"/>
    <w:uiPriority w:val="99"/>
    <w:rsid w:val="00C52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B54A4"/>
    <w:rPr>
      <w:rFonts w:cs="Times New Roman"/>
    </w:rPr>
  </w:style>
  <w:style w:type="paragraph" w:styleId="Zpat">
    <w:name w:val="footer"/>
    <w:basedOn w:val="Normln"/>
    <w:link w:val="ZpatChar"/>
    <w:uiPriority w:val="99"/>
    <w:rsid w:val="00C52F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B54A4"/>
    <w:rPr>
      <w:rFonts w:cs="Times New Roman"/>
    </w:rPr>
  </w:style>
  <w:style w:type="character" w:styleId="slostrnky">
    <w:name w:val="page number"/>
    <w:basedOn w:val="Standardnpsmoodstavce"/>
    <w:uiPriority w:val="99"/>
    <w:rsid w:val="00C52F9F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A122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4781</Characters>
  <Application>Microsoft Office Word</Application>
  <DocSecurity>0</DocSecurity>
  <Lines>39</Lines>
  <Paragraphs>11</Paragraphs>
  <ScaleCrop>false</ScaleCrop>
  <Company>FN Olomouc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user</cp:lastModifiedBy>
  <cp:revision>4</cp:revision>
  <cp:lastPrinted>2018-08-15T09:34:00Z</cp:lastPrinted>
  <dcterms:created xsi:type="dcterms:W3CDTF">2018-07-23T09:47:00Z</dcterms:created>
  <dcterms:modified xsi:type="dcterms:W3CDTF">2018-08-15T09:35:00Z</dcterms:modified>
</cp:coreProperties>
</file>