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83" w:rsidRDefault="00C35FA7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inline distT="0" distB="0" distL="0" distR="0" wp14:anchorId="1CE80E56" wp14:editId="382F4A46">
            <wp:extent cx="1835150" cy="469900"/>
            <wp:effectExtent l="0" t="0" r="0" b="635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383" w:rsidRDefault="00524383">
      <w:pPr>
        <w:pStyle w:val="Nzev"/>
        <w:jc w:val="both"/>
        <w:rPr>
          <w:rFonts w:ascii="Arial Narrow" w:hAnsi="Arial Narrow"/>
          <w:b w:val="0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rFonts w:ascii="Arial Black" w:hAnsi="Arial Black"/>
          <w:sz w:val="20"/>
          <w:u w:val="thick"/>
        </w:rPr>
        <w:t xml:space="preserve"> </w:t>
      </w:r>
      <w:r>
        <w:rPr>
          <w:sz w:val="16"/>
          <w:u w:val="thick"/>
        </w:rPr>
        <w:t xml:space="preserve">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524383" w:rsidRPr="00C072E5" w:rsidRDefault="00524383">
      <w:pPr>
        <w:rPr>
          <w:rFonts w:ascii="Arial Black" w:hAnsi="Arial Black"/>
          <w:sz w:val="12"/>
          <w:szCs w:val="12"/>
          <w:u w:val="single"/>
        </w:rPr>
      </w:pPr>
    </w:p>
    <w:p w:rsidR="00524383" w:rsidRDefault="00524383" w:rsidP="00C072E5">
      <w:pPr>
        <w:pStyle w:val="Zkladntext"/>
        <w:jc w:val="both"/>
        <w:rPr>
          <w:spacing w:val="8"/>
          <w:sz w:val="16"/>
          <w:szCs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8E4B3E">
        <w:rPr>
          <w:rFonts w:ascii="Arial Narrow" w:hAnsi="Arial Narrow"/>
          <w:spacing w:val="8"/>
          <w:sz w:val="16"/>
        </w:rPr>
        <w:t xml:space="preserve">  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588 442 238</w:t>
      </w:r>
      <w:r>
        <w:rPr>
          <w:spacing w:val="8"/>
          <w:sz w:val="16"/>
          <w:u w:val="single"/>
        </w:rPr>
        <w:t>.</w:t>
      </w:r>
    </w:p>
    <w:p w:rsidR="00524383" w:rsidRPr="00C072E5" w:rsidRDefault="00524383" w:rsidP="00C072E5">
      <w:pPr>
        <w:pStyle w:val="Zkladntext"/>
        <w:jc w:val="both"/>
        <w:rPr>
          <w:rFonts w:ascii="Arial Black" w:hAnsi="Arial Black"/>
          <w:sz w:val="16"/>
          <w:szCs w:val="16"/>
          <w:u w:val="single"/>
        </w:rPr>
      </w:pPr>
      <w:r w:rsidRPr="00C072E5">
        <w:rPr>
          <w:sz w:val="16"/>
          <w:szCs w:val="16"/>
        </w:rPr>
        <w:t xml:space="preserve">             </w:t>
      </w:r>
    </w:p>
    <w:p w:rsidR="00524383" w:rsidRPr="00B63819" w:rsidRDefault="00524383" w:rsidP="007E3281">
      <w:pPr>
        <w:rPr>
          <w:rFonts w:ascii="Arial Black" w:hAnsi="Arial Black"/>
          <w:b/>
          <w:sz w:val="16"/>
        </w:rPr>
      </w:pPr>
      <w:r>
        <w:rPr>
          <w:rFonts w:ascii="Arial Black" w:hAnsi="Arial Black"/>
          <w:sz w:val="16"/>
          <w:u w:val="single"/>
        </w:rPr>
        <w:t>NÁZEV</w:t>
      </w:r>
      <w:r>
        <w:rPr>
          <w:rFonts w:ascii="Arial Black" w:hAnsi="Arial Black"/>
          <w:b/>
          <w:sz w:val="16"/>
        </w:rPr>
        <w:t>:</w:t>
      </w:r>
      <w:r>
        <w:rPr>
          <w:rFonts w:ascii="Arial Black" w:hAnsi="Arial Black"/>
          <w:b/>
          <w:sz w:val="16"/>
        </w:rPr>
        <w:tab/>
        <w:t xml:space="preserve">       </w:t>
      </w:r>
      <w:r>
        <w:rPr>
          <w:rFonts w:ascii="Arial Black" w:hAnsi="Arial Black"/>
          <w:b/>
          <w:sz w:val="18"/>
        </w:rPr>
        <w:t>ERYTROCYTY RESUSPENDOVANÉ DELEUKOTIZOVANÉ</w:t>
      </w:r>
      <w:r>
        <w:rPr>
          <w:rFonts w:ascii="Arial Black" w:hAnsi="Arial Black"/>
          <w:b/>
          <w:sz w:val="16"/>
        </w:rPr>
        <w:t xml:space="preserve">                   </w:t>
      </w:r>
    </w:p>
    <w:p w:rsidR="00524383" w:rsidRDefault="00524383">
      <w:pPr>
        <w:rPr>
          <w:rFonts w:ascii="Arial Black" w:hAnsi="Arial Black"/>
          <w:sz w:val="18"/>
        </w:rPr>
      </w:pPr>
      <w:r>
        <w:rPr>
          <w:rFonts w:ascii="Arial Black" w:hAnsi="Arial Black"/>
          <w:caps/>
          <w:sz w:val="16"/>
          <w:u w:val="single"/>
        </w:rPr>
        <w:t>Zkratka:</w:t>
      </w:r>
      <w:r>
        <w:rPr>
          <w:rFonts w:ascii="Arial" w:hAnsi="Arial"/>
          <w:caps/>
          <w:sz w:val="18"/>
        </w:rPr>
        <w:t xml:space="preserve">   </w:t>
      </w:r>
      <w:r>
        <w:rPr>
          <w:rFonts w:ascii="Arial Black" w:hAnsi="Arial Black"/>
          <w:caps/>
          <w:sz w:val="18"/>
        </w:rPr>
        <w:t>E</w:t>
      </w:r>
      <w:r>
        <w:rPr>
          <w:rFonts w:ascii="Arial Black" w:hAnsi="Arial Black"/>
          <w:b/>
          <w:sz w:val="18"/>
        </w:rPr>
        <w:t>RD</w:t>
      </w:r>
    </w:p>
    <w:p w:rsidR="00524383" w:rsidRPr="00C072E5" w:rsidRDefault="00524383">
      <w:pPr>
        <w:rPr>
          <w:rFonts w:ascii="Arial Black" w:hAnsi="Arial Black"/>
          <w:sz w:val="12"/>
          <w:szCs w:val="12"/>
          <w:u w:val="single"/>
        </w:rPr>
      </w:pP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524383" w:rsidRDefault="00524383">
      <w:pPr>
        <w:pStyle w:val="Zkladntextodsazen3"/>
        <w:ind w:left="0"/>
        <w:jc w:val="both"/>
      </w:pPr>
      <w:r>
        <w:t>Transfuzní oddělení Fakultní nemocnice Olomouc, I. P. Pavlova 185/6, 779 00 Olomouc – C 2059.</w:t>
      </w:r>
    </w:p>
    <w:p w:rsidR="00524383" w:rsidRPr="00C072E5" w:rsidRDefault="00524383">
      <w:pPr>
        <w:rPr>
          <w:rFonts w:ascii="Arial" w:hAnsi="Arial"/>
          <w:b/>
          <w:sz w:val="12"/>
          <w:szCs w:val="12"/>
          <w:u w:val="thick"/>
        </w:rPr>
      </w:pPr>
    </w:p>
    <w:p w:rsidR="00524383" w:rsidRDefault="00524383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Složení:</w:t>
      </w:r>
    </w:p>
    <w:p w:rsidR="00524383" w:rsidRPr="001562D2" w:rsidRDefault="00524383" w:rsidP="00C855AD">
      <w:pPr>
        <w:pStyle w:val="Seznamsodrkami"/>
      </w:pPr>
      <w:r w:rsidRPr="001562D2">
        <w:t>koncentrát erytrocytů</w:t>
      </w:r>
      <w:r>
        <w:t>,</w:t>
      </w:r>
    </w:p>
    <w:p w:rsidR="00524383" w:rsidRPr="001562D2" w:rsidRDefault="00524383" w:rsidP="00C855AD">
      <w:pPr>
        <w:pStyle w:val="Seznamsodrkami"/>
      </w:pPr>
      <w:r w:rsidRPr="001562D2">
        <w:t>antikoagulační roztok CPD</w:t>
      </w:r>
      <w:r>
        <w:t>,</w:t>
      </w:r>
    </w:p>
    <w:p w:rsidR="00524383" w:rsidRPr="001562D2" w:rsidRDefault="00524383" w:rsidP="00C855AD">
      <w:pPr>
        <w:pStyle w:val="Seznamsodrkami"/>
      </w:pPr>
      <w:r w:rsidRPr="001562D2">
        <w:t>resuspenzní roztok SAGM 100 ml</w:t>
      </w:r>
      <w:r>
        <w:t>,</w:t>
      </w:r>
    </w:p>
    <w:p w:rsidR="00524383" w:rsidRPr="001562D2" w:rsidRDefault="00524383" w:rsidP="00C855AD">
      <w:pPr>
        <w:pStyle w:val="Seznamsodrkami"/>
      </w:pPr>
      <w:r w:rsidRPr="001562D2">
        <w:t>hematokrit 0,50 – 0,70/T</w:t>
      </w:r>
      <w:r>
        <w:t>.</w:t>
      </w:r>
      <w:r w:rsidRPr="001562D2">
        <w:t>U</w:t>
      </w:r>
      <w:r>
        <w:t>.,</w:t>
      </w:r>
    </w:p>
    <w:p w:rsidR="00524383" w:rsidRPr="001562D2" w:rsidRDefault="00524383" w:rsidP="00C855AD">
      <w:pPr>
        <w:pStyle w:val="Seznamsodrkami"/>
      </w:pPr>
      <w:r w:rsidRPr="001562D2">
        <w:t>hemoglobin: minimálně 40 g/T</w:t>
      </w:r>
      <w:r>
        <w:t>.</w:t>
      </w:r>
      <w:r w:rsidRPr="001562D2">
        <w:t>U</w:t>
      </w:r>
      <w:r>
        <w:t>.,</w:t>
      </w:r>
    </w:p>
    <w:p w:rsidR="00524383" w:rsidRDefault="00524383" w:rsidP="00C855AD">
      <w:pPr>
        <w:pStyle w:val="Seznamsodrkami"/>
      </w:pPr>
      <w:r w:rsidRPr="001562D2">
        <w:t>reziduální leukocyty: méně než 1,0 x 10</w:t>
      </w:r>
      <w:r w:rsidRPr="001562D2">
        <w:rPr>
          <w:vertAlign w:val="superscript"/>
        </w:rPr>
        <w:t>6</w:t>
      </w:r>
      <w:r w:rsidRPr="001562D2">
        <w:t>/T</w:t>
      </w:r>
      <w:r>
        <w:t>.</w:t>
      </w:r>
      <w:r w:rsidRPr="001562D2">
        <w:t>U</w:t>
      </w:r>
      <w:r>
        <w:t>.,</w:t>
      </w:r>
      <w:r w:rsidRPr="001562D2">
        <w:t xml:space="preserve">  </w:t>
      </w:r>
    </w:p>
    <w:p w:rsidR="00524383" w:rsidRPr="001562D2" w:rsidRDefault="00524383" w:rsidP="00C855AD">
      <w:pPr>
        <w:pStyle w:val="Seznamsodrkami"/>
      </w:pPr>
      <w:r>
        <w:t>hemolýza na konci doby použitelnosti méně než 0,8% erytrocytové hmoty.</w:t>
      </w:r>
    </w:p>
    <w:p w:rsidR="00524383" w:rsidRPr="00C072E5" w:rsidRDefault="00524383" w:rsidP="00C855AD">
      <w:pPr>
        <w:pStyle w:val="Seznamsodrkami"/>
      </w:pPr>
    </w:p>
    <w:p w:rsidR="00524383" w:rsidRDefault="00524383">
      <w:pPr>
        <w:rPr>
          <w:rFonts w:ascii="Arial" w:hAnsi="Arial"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524383" w:rsidRDefault="00524383">
      <w:pPr>
        <w:jc w:val="both"/>
        <w:rPr>
          <w:rFonts w:ascii="Arial" w:hAnsi="Arial"/>
          <w:sz w:val="14"/>
        </w:rPr>
      </w:pPr>
    </w:p>
    <w:p w:rsidR="00524383" w:rsidRPr="00B63819" w:rsidRDefault="00524383">
      <w:pPr>
        <w:jc w:val="both"/>
        <w:rPr>
          <w:rFonts w:ascii="Arial" w:hAnsi="Arial"/>
          <w:sz w:val="14"/>
        </w:rPr>
      </w:pPr>
      <w:r w:rsidRPr="00B63819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0007955</w:t>
      </w:r>
    </w:p>
    <w:p w:rsidR="00524383" w:rsidRPr="00C072E5" w:rsidRDefault="00524383">
      <w:pPr>
        <w:jc w:val="both"/>
        <w:rPr>
          <w:rFonts w:ascii="Arial" w:hAnsi="Arial"/>
          <w:sz w:val="12"/>
          <w:szCs w:val="12"/>
          <w:u w:val="single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ERD je koncentrát erytrocytů získaný oddělením erytrocytů od plazmy po centrifugaci in-line filtrované plné krve a jejich následnou resuspenzí. V současné době se považují za nejbezpečnější transfuzní přípravky.</w:t>
      </w:r>
    </w:p>
    <w:p w:rsidR="00524383" w:rsidRPr="00C072E5" w:rsidRDefault="00524383">
      <w:pPr>
        <w:jc w:val="both"/>
        <w:rPr>
          <w:rFonts w:ascii="Arial" w:hAnsi="Arial"/>
          <w:b/>
          <w:sz w:val="12"/>
          <w:szCs w:val="12"/>
          <w:u w:val="single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Objem: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ERD:     minimálně 2</w:t>
      </w:r>
      <w:r w:rsidR="000201F3">
        <w:rPr>
          <w:rFonts w:ascii="Arial" w:hAnsi="Arial"/>
          <w:sz w:val="14"/>
        </w:rPr>
        <w:t>3</w:t>
      </w:r>
      <w:r w:rsidR="00DB2CFB">
        <w:rPr>
          <w:rFonts w:ascii="Arial" w:hAnsi="Arial"/>
          <w:sz w:val="14"/>
        </w:rPr>
        <w:t>0</w:t>
      </w:r>
      <w:r>
        <w:rPr>
          <w:rFonts w:ascii="Arial" w:hAnsi="Arial"/>
          <w:sz w:val="14"/>
        </w:rPr>
        <w:t xml:space="preserve"> ml</w:t>
      </w:r>
    </w:p>
    <w:p w:rsidR="00524383" w:rsidRPr="00C072E5" w:rsidRDefault="00524383">
      <w:pPr>
        <w:pStyle w:val="Zhlav"/>
        <w:tabs>
          <w:tab w:val="clear" w:pos="4536"/>
          <w:tab w:val="clear" w:pos="9072"/>
        </w:tabs>
        <w:rPr>
          <w:sz w:val="12"/>
          <w:szCs w:val="12"/>
        </w:rPr>
      </w:pPr>
    </w:p>
    <w:p w:rsidR="00524383" w:rsidRDefault="00524383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Indikace:</w:t>
      </w: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Léčba anémie, náhrada krevní ztráty, zejména: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s opakovanými nehemolytickými reakcemi po transfuzi,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se známými nebo suspektními HLA protilátkami,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chronicky substituovaných krví a transfuzními přípravky,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 po transplantacích a u ostatních imunosuprimovaných pacientů,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nedonošených dětí a u novorozenců,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intrauterinních transfuzí,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těhotných žen,</w:t>
      </w:r>
    </w:p>
    <w:p w:rsidR="00524383" w:rsidRDefault="00524383">
      <w:pPr>
        <w:pStyle w:val="Zkladntextodsazen"/>
        <w:numPr>
          <w:ilvl w:val="0"/>
          <w:numId w:val="39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dětí po operacích srdce a velkých cév.</w:t>
      </w:r>
    </w:p>
    <w:p w:rsidR="00524383" w:rsidRDefault="00524383">
      <w:pPr>
        <w:pStyle w:val="Zkladntextodsazen"/>
        <w:spacing w:after="0"/>
        <w:ind w:left="0"/>
        <w:rPr>
          <w:rFonts w:ascii="Arial" w:hAnsi="Arial"/>
          <w:sz w:val="14"/>
        </w:rPr>
      </w:pPr>
      <w:r>
        <w:rPr>
          <w:rFonts w:ascii="Arial" w:hAnsi="Arial"/>
          <w:sz w:val="14"/>
        </w:rPr>
        <w:t>Tento přípravek lze podat jako vhodnou alternativu CMV negativní krve pro prevenci přenosu CMV.</w:t>
      </w: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sz w:val="14"/>
          <w:u w:val="single"/>
        </w:rPr>
      </w:pPr>
    </w:p>
    <w:p w:rsidR="00524383" w:rsidRDefault="00524383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Kontraindikace:</w:t>
      </w:r>
    </w:p>
    <w:p w:rsidR="00524383" w:rsidRPr="001562D2" w:rsidRDefault="00524383" w:rsidP="00C855AD">
      <w:pPr>
        <w:pStyle w:val="Seznamsodrkami"/>
      </w:pPr>
      <w:r w:rsidRPr="001562D2">
        <w:t>relativní hypervolémie</w:t>
      </w:r>
      <w:r>
        <w:t>,</w:t>
      </w:r>
    </w:p>
    <w:p w:rsidR="00524383" w:rsidRPr="00C072E5" w:rsidRDefault="00524383" w:rsidP="00C855AD">
      <w:pPr>
        <w:pStyle w:val="Seznamsodrkami"/>
      </w:pPr>
      <w:r w:rsidRPr="001562D2">
        <w:t>v případech, kde lze dosáhnout normalizace krevního obrazu jiným způsobem léčby</w:t>
      </w:r>
      <w:r>
        <w:t>.</w:t>
      </w:r>
    </w:p>
    <w:p w:rsidR="00524383" w:rsidRPr="001562D2" w:rsidRDefault="00524383" w:rsidP="00C855AD">
      <w:pPr>
        <w:pStyle w:val="Seznamsodrkami"/>
      </w:pPr>
    </w:p>
    <w:p w:rsidR="00524383" w:rsidRDefault="00524383">
      <w:pPr>
        <w:jc w:val="both"/>
        <w:rPr>
          <w:rFonts w:ascii="Arial" w:hAnsi="Arial"/>
          <w:b/>
          <w:sz w:val="10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přetížení oběhu,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kopřivka), ale vzácněji než po transfuzi jiných nedeleukotizovaných erytrocytových přípravků,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proti HLA a erytrocytovým antigenům,</w:t>
      </w:r>
    </w:p>
    <w:p w:rsidR="00524383" w:rsidRDefault="00524383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HIV, syfilis) je možné bez ohledu na pečlivý výběr dárců a screeningová vyšetření,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524383" w:rsidRDefault="00524383" w:rsidP="00C855AD">
      <w:pPr>
        <w:jc w:val="both"/>
        <w:rPr>
          <w:rFonts w:ascii="Arial" w:hAnsi="Arial"/>
          <w:sz w:val="14"/>
        </w:rPr>
      </w:pP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biochemické odchylky při masivní transfuzi, např. hyperkalémie,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purpura,</w:t>
      </w:r>
    </w:p>
    <w:p w:rsidR="00524383" w:rsidRDefault="00524383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524383" w:rsidRDefault="00524383">
      <w:pPr>
        <w:jc w:val="both"/>
        <w:rPr>
          <w:rFonts w:ascii="Arial" w:hAnsi="Arial"/>
          <w:sz w:val="14"/>
          <w:u w:val="single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524383" w:rsidRDefault="00524383">
      <w:pPr>
        <w:jc w:val="both"/>
        <w:rPr>
          <w:rFonts w:ascii="Arial" w:hAnsi="Arial"/>
          <w:sz w:val="14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Obvykle se krevní transfuze podává při klinických známkách nedostatečného sycení kyslíkem. Jedna transfuzní jednotka ERD zlepšuje hematokrit u dospělého přibližně o 0,2. Při náhlém krvácení se nejdříve podávají krystaloidy, koloidy a krevní transfuze až následně.</w:t>
      </w:r>
    </w:p>
    <w:p w:rsidR="00524383" w:rsidRPr="001562D2" w:rsidRDefault="00524383" w:rsidP="00C855AD">
      <w:pPr>
        <w:pStyle w:val="Seznamsodrkami"/>
      </w:pPr>
      <w:r w:rsidRPr="001562D2">
        <w:t>Přípravek  se  podává  intravenózně transf</w:t>
      </w:r>
      <w:r>
        <w:t>u</w:t>
      </w:r>
      <w:r w:rsidRPr="001562D2">
        <w:t xml:space="preserve">zním  setem  s  filtrem  o velikosti pórů 170 </w:t>
      </w:r>
      <w:r w:rsidRPr="001562D2">
        <w:rPr>
          <w:szCs w:val="14"/>
        </w:rPr>
        <w:sym w:font="Symbol" w:char="F06D"/>
      </w:r>
      <w:r w:rsidRPr="001562D2">
        <w:t xml:space="preserve">m až 200 </w:t>
      </w:r>
      <w:r w:rsidRPr="001562D2">
        <w:rPr>
          <w:szCs w:val="14"/>
        </w:rPr>
        <w:sym w:font="Symbol" w:char="F06D"/>
      </w:r>
      <w:r w:rsidRPr="001562D2">
        <w:t>m</w:t>
      </w:r>
      <w:r>
        <w:t>.</w:t>
      </w:r>
    </w:p>
    <w:p w:rsidR="00524383" w:rsidRPr="00C855AD" w:rsidRDefault="00524383" w:rsidP="00C855AD">
      <w:pPr>
        <w:pStyle w:val="Seznamsodrkami"/>
      </w:pPr>
      <w:r w:rsidRPr="00C855AD">
        <w:t>Kontrola vnějšího vzhledu přípravku se zaměřením na možnou hemolýzu, sraženiny a neporušenost obalu.</w:t>
      </w:r>
    </w:p>
    <w:p w:rsidR="00524383" w:rsidRPr="001562D2" w:rsidRDefault="00524383" w:rsidP="00C855AD">
      <w:pPr>
        <w:pStyle w:val="Seznamsodrkami"/>
      </w:pPr>
      <w:r w:rsidRPr="001562D2">
        <w:t>Kontrola dokumentace, čísla a typu transf</w:t>
      </w:r>
      <w:r>
        <w:t>u</w:t>
      </w:r>
      <w:r w:rsidRPr="001562D2">
        <w:t>zního přípravku, doby použitelnosti, skupiny v AB0 a RhD systému</w:t>
      </w:r>
      <w:r>
        <w:t>.</w:t>
      </w:r>
    </w:p>
    <w:p w:rsidR="00524383" w:rsidRPr="001562D2" w:rsidRDefault="00524383" w:rsidP="00C855AD">
      <w:pPr>
        <w:pStyle w:val="Seznamsodrkami"/>
      </w:pPr>
      <w:r w:rsidRPr="001562D2">
        <w:t>Provést povinnou zajišťovací zkoušku</w:t>
      </w:r>
      <w:r>
        <w:t>.</w:t>
      </w:r>
      <w:r w:rsidRPr="001562D2">
        <w:t xml:space="preserve"> </w:t>
      </w:r>
    </w:p>
    <w:p w:rsidR="00524383" w:rsidRPr="001562D2" w:rsidRDefault="00524383" w:rsidP="00C855AD">
      <w:pPr>
        <w:pStyle w:val="Seznamsodrkami"/>
      </w:pPr>
      <w:r w:rsidRPr="001562D2">
        <w:t>Před a po transf</w:t>
      </w:r>
      <w:r>
        <w:t>u</w:t>
      </w:r>
      <w:r w:rsidR="00DB2CFB">
        <w:t>zi zkontrolovat u pacienta TK,</w:t>
      </w:r>
      <w:r w:rsidRPr="001562D2">
        <w:t xml:space="preserve"> puls, tělesnou teplotu</w:t>
      </w:r>
      <w:r>
        <w:t>.</w:t>
      </w:r>
    </w:p>
    <w:p w:rsidR="00524383" w:rsidRPr="001562D2" w:rsidRDefault="00524383" w:rsidP="00C855AD">
      <w:pPr>
        <w:pStyle w:val="Seznamsodrkami"/>
      </w:pPr>
      <w:r w:rsidRPr="001562D2">
        <w:t>Při začátku transf</w:t>
      </w:r>
      <w:r>
        <w:t>u</w:t>
      </w:r>
      <w:r w:rsidRPr="001562D2">
        <w:t>ze provést biologickou zkoušku dle klinické potřeby</w:t>
      </w:r>
      <w:r>
        <w:t>.</w:t>
      </w:r>
    </w:p>
    <w:p w:rsidR="00524383" w:rsidRPr="001562D2" w:rsidRDefault="00524383" w:rsidP="00C855AD">
      <w:pPr>
        <w:pStyle w:val="Seznamsodrkami"/>
      </w:pPr>
      <w:r w:rsidRPr="001562D2">
        <w:t>Po ukončení transf</w:t>
      </w:r>
      <w:r>
        <w:t>u</w:t>
      </w:r>
      <w:r w:rsidRPr="001562D2">
        <w:t>ze ponechat zbytek přípravku (nejméně 10 ml) ve vaku na dobu 24 hodin v</w:t>
      </w:r>
      <w:r>
        <w:t> </w:t>
      </w:r>
      <w:r w:rsidRPr="001562D2">
        <w:t>chladničce</w:t>
      </w:r>
      <w:r>
        <w:t>.</w:t>
      </w:r>
    </w:p>
    <w:p w:rsidR="00524383" w:rsidRDefault="00524383" w:rsidP="00C855AD">
      <w:pPr>
        <w:pStyle w:val="Seznamsodrkami"/>
        <w:numPr>
          <w:ilvl w:val="0"/>
          <w:numId w:val="0"/>
        </w:numPr>
      </w:pPr>
    </w:p>
    <w:p w:rsidR="00524383" w:rsidRPr="00C855AD" w:rsidRDefault="00524383" w:rsidP="00C855AD">
      <w:pPr>
        <w:pStyle w:val="Seznamsodrkami"/>
        <w:numPr>
          <w:ilvl w:val="0"/>
          <w:numId w:val="0"/>
        </w:numPr>
        <w:rPr>
          <w:b/>
        </w:rPr>
      </w:pPr>
      <w:r w:rsidRPr="00C855AD">
        <w:rPr>
          <w:b/>
          <w:u w:val="single"/>
        </w:rPr>
        <w:t>Upozornění</w:t>
      </w:r>
      <w:r w:rsidRPr="00C855AD">
        <w:rPr>
          <w:b/>
        </w:rPr>
        <w:t>:</w:t>
      </w:r>
    </w:p>
    <w:p w:rsidR="00524383" w:rsidRDefault="00524383" w:rsidP="000B69B8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Kompatibilita přípravku s uvažovaným příjemcem se musí ověřit povinným předtransfuzním      vyšetřením.</w:t>
      </w:r>
      <w:r>
        <w:t xml:space="preserve"> </w:t>
      </w:r>
      <w:r>
        <w:rPr>
          <w:rFonts w:ascii="Arial" w:hAnsi="Arial"/>
          <w:sz w:val="14"/>
        </w:rPr>
        <w:t>Toto vyšetření platí pouze 72 hodin, pak je nutno vyšetření zopakovat.</w:t>
      </w:r>
    </w:p>
    <w:p w:rsidR="00524383" w:rsidRDefault="00524383" w:rsidP="000B69B8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524383" w:rsidRDefault="00524383" w:rsidP="000B69B8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lze vrátit zpět na transfuzní oddělení (krevní banku) pouze výjimečně, a to po předchozí domluvě.</w:t>
      </w:r>
    </w:p>
    <w:p w:rsidR="00524383" w:rsidRDefault="00524383" w:rsidP="000B69B8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Pokud nebyl přípravek aplikován, musí být tato skutečnost písemně nahlášena transfuznímu oddělení (krevní bance) a zaznamenán údaj o naložení s ním.</w:t>
      </w:r>
    </w:p>
    <w:p w:rsidR="00524383" w:rsidRDefault="00524383" w:rsidP="000B69B8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sz w:val="16"/>
        </w:rPr>
        <w:t xml:space="preserve"> </w:t>
      </w:r>
    </w:p>
    <w:p w:rsidR="00524383" w:rsidRDefault="00524383" w:rsidP="000B69B8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Hlásit je třeba nežádoucí reakce související s podáním transfuze, vzniklé během transfuze i po ní nebo podezření na ně. </w:t>
      </w:r>
    </w:p>
    <w:p w:rsidR="00524383" w:rsidRPr="00B63819" w:rsidRDefault="00524383" w:rsidP="00B63819">
      <w:pPr>
        <w:pStyle w:val="Zkladntextodsazen"/>
        <w:numPr>
          <w:ilvl w:val="0"/>
          <w:numId w:val="47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 w:rsidRPr="00B63819">
        <w:rPr>
          <w:rFonts w:ascii="Arial" w:hAnsi="Arial"/>
          <w:sz w:val="14"/>
          <w:szCs w:val="14"/>
        </w:rPr>
        <w:t>Vyhláška o lidské krvi (č.</w:t>
      </w:r>
      <w:r>
        <w:rPr>
          <w:rFonts w:ascii="Arial" w:hAnsi="Arial"/>
          <w:sz w:val="14"/>
          <w:szCs w:val="14"/>
        </w:rPr>
        <w:t xml:space="preserve"> </w:t>
      </w:r>
      <w:r w:rsidRPr="00B63819">
        <w:rPr>
          <w:rFonts w:ascii="Arial" w:hAnsi="Arial"/>
          <w:sz w:val="14"/>
          <w:szCs w:val="14"/>
        </w:rPr>
        <w:t xml:space="preserve">143/2008 Sb., </w:t>
      </w:r>
      <w:r w:rsidRPr="00B63819">
        <w:rPr>
          <w:rFonts w:ascii="Arial" w:hAnsi="Arial" w:cs="Arial"/>
          <w:sz w:val="14"/>
          <w:szCs w:val="14"/>
        </w:rPr>
        <w:t>§</w:t>
      </w:r>
      <w:r w:rsidRPr="00B63819">
        <w:rPr>
          <w:rFonts w:ascii="Arial" w:hAnsi="Arial"/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B63819">
          <w:rPr>
            <w:rFonts w:ascii="Arial" w:hAnsi="Arial"/>
            <w:sz w:val="14"/>
            <w:szCs w:val="14"/>
          </w:rPr>
          <w:t>1 a</w:t>
        </w:r>
      </w:smartTag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/>
          <w:sz w:val="14"/>
          <w:szCs w:val="14"/>
        </w:rPr>
        <w:t xml:space="preserve"> </w:t>
      </w:r>
      <w:r w:rsidRPr="00B63819">
        <w:rPr>
          <w:rFonts w:ascii="Arial" w:hAnsi="Arial"/>
          <w:sz w:val="14"/>
          <w:szCs w:val="14"/>
        </w:rPr>
        <w:t xml:space="preserve">9) z důvodu zajištění hemovigilance (definice viz zákon </w:t>
      </w:r>
      <w:r>
        <w:rPr>
          <w:rFonts w:ascii="Arial" w:hAnsi="Arial"/>
          <w:sz w:val="14"/>
          <w:szCs w:val="14"/>
        </w:rPr>
        <w:t xml:space="preserve"> </w:t>
      </w:r>
      <w:r w:rsidRPr="00B63819">
        <w:rPr>
          <w:rFonts w:ascii="Arial" w:hAnsi="Arial"/>
          <w:sz w:val="14"/>
          <w:szCs w:val="14"/>
        </w:rPr>
        <w:t>o léčivech č.</w:t>
      </w:r>
      <w:r>
        <w:rPr>
          <w:rFonts w:ascii="Arial" w:hAnsi="Arial"/>
          <w:sz w:val="14"/>
          <w:szCs w:val="14"/>
        </w:rPr>
        <w:t xml:space="preserve"> </w:t>
      </w:r>
      <w:r w:rsidRPr="00B63819">
        <w:rPr>
          <w:rFonts w:ascii="Arial" w:hAnsi="Arial"/>
          <w:sz w:val="14"/>
          <w:szCs w:val="14"/>
        </w:rPr>
        <w:t xml:space="preserve">378/2007 Sb., </w:t>
      </w:r>
      <w:r w:rsidRPr="00B63819">
        <w:rPr>
          <w:rFonts w:ascii="Arial" w:hAnsi="Arial" w:cs="Arial"/>
          <w:sz w:val="14"/>
          <w:szCs w:val="14"/>
        </w:rPr>
        <w:t xml:space="preserve">§ 3) ukládá zdravotnickému zařízení podávající transfuzi (lékař) povinnost oznámit na SÚKL závažnou nežádoucí reakci u příjemce nebo podezření na ni, přičemž se jedná </w:t>
      </w:r>
      <w:r>
        <w:rPr>
          <w:rFonts w:ascii="Arial" w:hAnsi="Arial" w:cs="Arial"/>
          <w:sz w:val="14"/>
          <w:szCs w:val="14"/>
        </w:rPr>
        <w:t xml:space="preserve">          </w:t>
      </w:r>
      <w:r w:rsidRPr="00B63819">
        <w:rPr>
          <w:rFonts w:ascii="Arial" w:hAnsi="Arial" w:cs="Arial"/>
          <w:sz w:val="14"/>
          <w:szCs w:val="14"/>
        </w:rPr>
        <w:t>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sz w:val="14"/>
          <w:szCs w:val="14"/>
        </w:rPr>
        <w:t xml:space="preserve"> </w:t>
      </w:r>
      <w:r w:rsidRPr="00B63819">
        <w:rPr>
          <w:rFonts w:ascii="Arial" w:hAnsi="Arial" w:cs="Arial"/>
          <w:sz w:val="14"/>
          <w:szCs w:val="14"/>
        </w:rPr>
        <w:t>5 části A vyhlášky nebo na www.sukl.cz.</w:t>
      </w:r>
    </w:p>
    <w:p w:rsidR="00524383" w:rsidRDefault="00524383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524383" w:rsidRDefault="00524383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524383" w:rsidRDefault="00524383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různé typy nesnášenlivosti plazmy (nemusí to platit pro transfuzní přípravky s nízkým obsahem plazmy),</w:t>
      </w:r>
    </w:p>
    <w:p w:rsidR="00524383" w:rsidRDefault="00524383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výměnné transfuze u novorozenců, pokud se přípravek nepoužije do 5 dní od odběru.</w:t>
      </w:r>
    </w:p>
    <w:p w:rsidR="00524383" w:rsidRDefault="00524383" w:rsidP="00C855AD">
      <w:pPr>
        <w:pStyle w:val="Seznamsodrkami"/>
        <w:numPr>
          <w:ilvl w:val="0"/>
          <w:numId w:val="0"/>
        </w:numPr>
      </w:pPr>
    </w:p>
    <w:p w:rsidR="00524383" w:rsidRPr="00C855AD" w:rsidRDefault="00524383" w:rsidP="00C855AD">
      <w:pPr>
        <w:pStyle w:val="Seznamsodrkami"/>
        <w:numPr>
          <w:ilvl w:val="0"/>
          <w:numId w:val="0"/>
        </w:numPr>
        <w:rPr>
          <w:b/>
          <w:u w:val="single"/>
        </w:rPr>
      </w:pPr>
      <w:r w:rsidRPr="00C855AD">
        <w:rPr>
          <w:b/>
          <w:u w:val="single"/>
        </w:rPr>
        <w:t>Uchovávání</w:t>
      </w:r>
      <w:r>
        <w:rPr>
          <w:b/>
          <w:u w:val="single"/>
        </w:rPr>
        <w:t>:</w:t>
      </w: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 +</w:t>
      </w:r>
      <w:smartTag w:uri="urn:schemas-microsoft-com:office:smarttags" w:element="metricconverter">
        <w:smartTagPr>
          <w:attr w:name="ProductID" w:val="6 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524383" w:rsidRDefault="00524383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524383" w:rsidRDefault="00524383">
      <w:pPr>
        <w:jc w:val="both"/>
        <w:rPr>
          <w:rFonts w:ascii="Arial" w:hAnsi="Arial"/>
          <w:b/>
          <w:i/>
          <w:sz w:val="14"/>
        </w:rPr>
      </w:pPr>
    </w:p>
    <w:p w:rsidR="00524383" w:rsidRDefault="00524383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524383" w:rsidRDefault="00524383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524383" w:rsidRDefault="00524383">
      <w:pPr>
        <w:jc w:val="both"/>
        <w:rPr>
          <w:rFonts w:ascii="Arial" w:hAnsi="Arial"/>
          <w:b/>
          <w:i/>
          <w:sz w:val="14"/>
        </w:rPr>
      </w:pPr>
    </w:p>
    <w:p w:rsidR="00524383" w:rsidRDefault="00524383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D325CC" w:rsidRPr="00D325CC" w:rsidRDefault="00524383" w:rsidP="00D325CC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D325CC">
        <w:rPr>
          <w:rFonts w:ascii="Arial" w:hAnsi="Arial"/>
          <w:b w:val="0"/>
          <w:i w:val="0"/>
          <w:color w:val="auto"/>
          <w:sz w:val="14"/>
        </w:rPr>
        <w:t>Zajišťuje se v předem vychlazených uzavřených termoboxech s chladící vložkou, aby byla zajištěna požadovaná přepravní teplota</w:t>
      </w:r>
      <w:r w:rsidR="00D325CC" w:rsidRPr="00D325CC">
        <w:rPr>
          <w:rFonts w:ascii="Arial" w:hAnsi="Arial"/>
          <w:b w:val="0"/>
          <w:i w:val="0"/>
          <w:color w:val="auto"/>
          <w:sz w:val="14"/>
        </w:rPr>
        <w:t xml:space="preserve">. </w:t>
      </w:r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D325CC" w:rsidRPr="00D325CC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8E4B3E">
        <w:rPr>
          <w:rFonts w:ascii="Arial" w:hAnsi="Arial" w:cs="Arial"/>
          <w:b w:val="0"/>
          <w:i w:val="0"/>
          <w:color w:val="auto"/>
          <w:sz w:val="14"/>
        </w:rPr>
        <w:t xml:space="preserve">       </w:t>
      </w:r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>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="00D325CC" w:rsidRPr="00D325CC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D325CC" w:rsidRPr="00D325CC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524383" w:rsidRPr="004D6841" w:rsidRDefault="00524383" w:rsidP="00673469">
      <w:pPr>
        <w:jc w:val="both"/>
        <w:rPr>
          <w:rFonts w:ascii="Arial" w:hAnsi="Arial"/>
          <w:sz w:val="14"/>
        </w:rPr>
      </w:pPr>
    </w:p>
    <w:p w:rsidR="00524383" w:rsidRDefault="00524383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524383" w:rsidRDefault="00524383" w:rsidP="001562D2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524383" w:rsidRDefault="00C215F3" w:rsidP="001562D2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Únor 2019</w:t>
      </w:r>
      <w:r w:rsidR="00524383">
        <w:rPr>
          <w:rFonts w:ascii="Arial" w:hAnsi="Arial"/>
          <w:sz w:val="14"/>
        </w:rPr>
        <w:t xml:space="preserve"> – </w:t>
      </w:r>
      <w:r w:rsidR="00524383" w:rsidRPr="004B5D82">
        <w:rPr>
          <w:rFonts w:ascii="Arial" w:hAnsi="Arial"/>
          <w:sz w:val="14"/>
        </w:rPr>
        <w:t>verze 0</w:t>
      </w:r>
      <w:r>
        <w:rPr>
          <w:rFonts w:ascii="Arial" w:hAnsi="Arial"/>
          <w:sz w:val="14"/>
        </w:rPr>
        <w:t>7</w:t>
      </w:r>
    </w:p>
    <w:sectPr w:rsidR="00524383" w:rsidSect="00C35FA7">
      <w:footerReference w:type="default" r:id="rId9"/>
      <w:pgSz w:w="8392" w:h="11907" w:code="11"/>
      <w:pgMar w:top="426" w:right="680" w:bottom="454" w:left="851" w:header="709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6F" w:rsidRDefault="0041236F">
      <w:r>
        <w:separator/>
      </w:r>
    </w:p>
  </w:endnote>
  <w:endnote w:type="continuationSeparator" w:id="0">
    <w:p w:rsidR="0041236F" w:rsidRDefault="0041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83" w:rsidRDefault="00E13E15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524383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C35FA7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524383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524383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C35FA7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6F" w:rsidRDefault="0041236F">
      <w:r>
        <w:separator/>
      </w:r>
    </w:p>
  </w:footnote>
  <w:footnote w:type="continuationSeparator" w:id="0">
    <w:p w:rsidR="0041236F" w:rsidRDefault="0041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64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B136F"/>
    <w:multiLevelType w:val="singleLevel"/>
    <w:tmpl w:val="68BEC3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54142D"/>
    <w:multiLevelType w:val="multilevel"/>
    <w:tmpl w:val="E2B26A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A6E8D"/>
    <w:multiLevelType w:val="multilevel"/>
    <w:tmpl w:val="D6120F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4417"/>
    <w:multiLevelType w:val="multilevel"/>
    <w:tmpl w:val="ADAAC7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A2A4A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F66F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E8E60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3F77EB1"/>
    <w:multiLevelType w:val="singleLevel"/>
    <w:tmpl w:val="49A8388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51437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177307"/>
    <w:multiLevelType w:val="multilevel"/>
    <w:tmpl w:val="203AC0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1C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B440D92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1582F1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7418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E4DF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6E6617"/>
    <w:multiLevelType w:val="multilevel"/>
    <w:tmpl w:val="94DAF9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D6C06"/>
    <w:multiLevelType w:val="singleLevel"/>
    <w:tmpl w:val="DCE2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2A51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183040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C35C6A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A28E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6032F0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9737DC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9C670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A1124C5"/>
    <w:multiLevelType w:val="hybridMultilevel"/>
    <w:tmpl w:val="5010F310"/>
    <w:lvl w:ilvl="0" w:tplc="70E80C8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6729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2092DF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52B68AE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D35540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840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A9459A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39"/>
  </w:num>
  <w:num w:numId="11">
    <w:abstractNumId w:val="3"/>
  </w:num>
  <w:num w:numId="12">
    <w:abstractNumId w:val="17"/>
  </w:num>
  <w:num w:numId="13">
    <w:abstractNumId w:val="7"/>
  </w:num>
  <w:num w:numId="14">
    <w:abstractNumId w:val="13"/>
  </w:num>
  <w:num w:numId="15">
    <w:abstractNumId w:val="20"/>
  </w:num>
  <w:num w:numId="16">
    <w:abstractNumId w:val="5"/>
  </w:num>
  <w:num w:numId="17">
    <w:abstractNumId w:val="4"/>
  </w:num>
  <w:num w:numId="18">
    <w:abstractNumId w:val="18"/>
  </w:num>
  <w:num w:numId="19">
    <w:abstractNumId w:val="24"/>
  </w:num>
  <w:num w:numId="20">
    <w:abstractNumId w:val="9"/>
  </w:num>
  <w:num w:numId="21">
    <w:abstractNumId w:val="23"/>
  </w:num>
  <w:num w:numId="22">
    <w:abstractNumId w:val="21"/>
  </w:num>
  <w:num w:numId="23">
    <w:abstractNumId w:val="34"/>
  </w:num>
  <w:num w:numId="24">
    <w:abstractNumId w:val="14"/>
  </w:num>
  <w:num w:numId="25">
    <w:abstractNumId w:val="30"/>
  </w:num>
  <w:num w:numId="26">
    <w:abstractNumId w:val="22"/>
  </w:num>
  <w:num w:numId="27">
    <w:abstractNumId w:val="8"/>
  </w:num>
  <w:num w:numId="28">
    <w:abstractNumId w:val="25"/>
  </w:num>
  <w:num w:numId="29">
    <w:abstractNumId w:val="6"/>
  </w:num>
  <w:num w:numId="30">
    <w:abstractNumId w:val="10"/>
  </w:num>
  <w:num w:numId="31">
    <w:abstractNumId w:val="2"/>
  </w:num>
  <w:num w:numId="32">
    <w:abstractNumId w:val="15"/>
  </w:num>
  <w:num w:numId="33">
    <w:abstractNumId w:val="11"/>
  </w:num>
  <w:num w:numId="34">
    <w:abstractNumId w:val="28"/>
  </w:num>
  <w:num w:numId="35">
    <w:abstractNumId w:val="19"/>
  </w:num>
  <w:num w:numId="36">
    <w:abstractNumId w:val="27"/>
  </w:num>
  <w:num w:numId="37">
    <w:abstractNumId w:val="36"/>
  </w:num>
  <w:num w:numId="38">
    <w:abstractNumId w:val="37"/>
  </w:num>
  <w:num w:numId="39">
    <w:abstractNumId w:val="32"/>
  </w:num>
  <w:num w:numId="40">
    <w:abstractNumId w:val="16"/>
  </w:num>
  <w:num w:numId="41">
    <w:abstractNumId w:val="26"/>
  </w:num>
  <w:num w:numId="42">
    <w:abstractNumId w:val="35"/>
  </w:num>
  <w:num w:numId="43">
    <w:abstractNumId w:val="12"/>
  </w:num>
  <w:num w:numId="44">
    <w:abstractNumId w:val="38"/>
  </w:num>
  <w:num w:numId="45">
    <w:abstractNumId w:val="33"/>
  </w:num>
  <w:num w:numId="46">
    <w:abstractNumId w:val="29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950"/>
    <w:rsid w:val="000201F3"/>
    <w:rsid w:val="00022658"/>
    <w:rsid w:val="00036EA4"/>
    <w:rsid w:val="000A4F94"/>
    <w:rsid w:val="000B69B8"/>
    <w:rsid w:val="00154C57"/>
    <w:rsid w:val="001562D2"/>
    <w:rsid w:val="0019060E"/>
    <w:rsid w:val="001E4AA8"/>
    <w:rsid w:val="002C7167"/>
    <w:rsid w:val="00324A2D"/>
    <w:rsid w:val="00336EEE"/>
    <w:rsid w:val="003C1EF0"/>
    <w:rsid w:val="003D0336"/>
    <w:rsid w:val="0041236F"/>
    <w:rsid w:val="004B5D82"/>
    <w:rsid w:val="004D6841"/>
    <w:rsid w:val="005143ED"/>
    <w:rsid w:val="00524383"/>
    <w:rsid w:val="00530950"/>
    <w:rsid w:val="00673469"/>
    <w:rsid w:val="00693ACC"/>
    <w:rsid w:val="007E3281"/>
    <w:rsid w:val="008527C1"/>
    <w:rsid w:val="00875BB0"/>
    <w:rsid w:val="008966E8"/>
    <w:rsid w:val="008E4B3E"/>
    <w:rsid w:val="008F4C0B"/>
    <w:rsid w:val="00914436"/>
    <w:rsid w:val="009172C7"/>
    <w:rsid w:val="0094704D"/>
    <w:rsid w:val="00A3104D"/>
    <w:rsid w:val="00A82515"/>
    <w:rsid w:val="00AC0717"/>
    <w:rsid w:val="00B05393"/>
    <w:rsid w:val="00B52516"/>
    <w:rsid w:val="00B63819"/>
    <w:rsid w:val="00BD332F"/>
    <w:rsid w:val="00C072E5"/>
    <w:rsid w:val="00C215F3"/>
    <w:rsid w:val="00C26836"/>
    <w:rsid w:val="00C35FA7"/>
    <w:rsid w:val="00C5088C"/>
    <w:rsid w:val="00C855AD"/>
    <w:rsid w:val="00CD44AB"/>
    <w:rsid w:val="00CF2987"/>
    <w:rsid w:val="00D002FE"/>
    <w:rsid w:val="00D25737"/>
    <w:rsid w:val="00D325CC"/>
    <w:rsid w:val="00D4393D"/>
    <w:rsid w:val="00D66561"/>
    <w:rsid w:val="00DA042F"/>
    <w:rsid w:val="00DB2CFB"/>
    <w:rsid w:val="00DE66DD"/>
    <w:rsid w:val="00DF29DB"/>
    <w:rsid w:val="00E13E15"/>
    <w:rsid w:val="00E35D8E"/>
    <w:rsid w:val="00EE3EA2"/>
    <w:rsid w:val="00F71B2C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5235E1-461D-4678-B6BA-7D048657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A2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24A2D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24A2D"/>
    <w:pPr>
      <w:keepNext/>
      <w:jc w:val="both"/>
      <w:outlineLvl w:val="1"/>
    </w:pPr>
    <w:rPr>
      <w:b/>
      <w:caps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24A2D"/>
    <w:pPr>
      <w:keepNext/>
      <w:jc w:val="both"/>
      <w:outlineLvl w:val="2"/>
    </w:pPr>
    <w:rPr>
      <w:rFonts w:ascii="Arial" w:hAnsi="Arial"/>
      <w:sz w:val="14"/>
      <w:u w:val="thick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D325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324A2D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54C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54C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54C57"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54C57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324A2D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54C57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C855AD"/>
    <w:pPr>
      <w:widowControl w:val="0"/>
      <w:numPr>
        <w:numId w:val="46"/>
      </w:numPr>
      <w:tabs>
        <w:tab w:val="clear" w:pos="720"/>
      </w:tabs>
      <w:ind w:left="284" w:hanging="284"/>
      <w:jc w:val="both"/>
    </w:pPr>
    <w:rPr>
      <w:rFonts w:ascii="Arial" w:hAnsi="Arial"/>
      <w:spacing w:val="-4"/>
      <w:sz w:val="14"/>
    </w:rPr>
  </w:style>
  <w:style w:type="paragraph" w:styleId="Zkladntext">
    <w:name w:val="Body Text"/>
    <w:basedOn w:val="Normln"/>
    <w:link w:val="ZkladntextChar"/>
    <w:uiPriority w:val="99"/>
    <w:rsid w:val="00324A2D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54C57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24A2D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154C57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24A2D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54C57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324A2D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54C57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24A2D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54C57"/>
    <w:rPr>
      <w:rFonts w:cs="Times New Roman"/>
    </w:rPr>
  </w:style>
  <w:style w:type="paragraph" w:styleId="Zhlav">
    <w:name w:val="header"/>
    <w:basedOn w:val="Normln"/>
    <w:link w:val="ZhlavChar"/>
    <w:uiPriority w:val="99"/>
    <w:rsid w:val="00324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54C57"/>
    <w:rPr>
      <w:rFonts w:cs="Times New Roman"/>
    </w:rPr>
  </w:style>
  <w:style w:type="paragraph" w:styleId="Zpat">
    <w:name w:val="footer"/>
    <w:basedOn w:val="Normln"/>
    <w:link w:val="ZpatChar"/>
    <w:uiPriority w:val="99"/>
    <w:rsid w:val="00324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54C57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324A2D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C5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324A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0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C57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D325C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5CC17-4DD5-47BF-B3F6-E43F00BF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920</Words>
  <Characters>5432</Characters>
  <Application>Microsoft Office Word</Application>
  <DocSecurity>0</DocSecurity>
  <Lines>45</Lines>
  <Paragraphs>12</Paragraphs>
  <ScaleCrop>false</ScaleCrop>
  <Company>FN Olomouc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Hrabálek Petr, Ing.</cp:lastModifiedBy>
  <cp:revision>4</cp:revision>
  <cp:lastPrinted>2019-02-11T08:40:00Z</cp:lastPrinted>
  <dcterms:created xsi:type="dcterms:W3CDTF">2019-02-06T10:54:00Z</dcterms:created>
  <dcterms:modified xsi:type="dcterms:W3CDTF">2020-04-16T09:30:00Z</dcterms:modified>
</cp:coreProperties>
</file>