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EF" w:rsidRDefault="00CC0CEF">
      <w:pPr>
        <w:pStyle w:val="Nzev"/>
        <w:jc w:val="both"/>
        <w:rPr>
          <w:noProof/>
        </w:rPr>
      </w:pPr>
      <w:r>
        <w:rPr>
          <w:noProof/>
        </w:rPr>
        <w:drawing>
          <wp:inline distT="0" distB="0" distL="0" distR="0" wp14:anchorId="4BF68E12" wp14:editId="5C4DD0E6">
            <wp:extent cx="1835150" cy="469900"/>
            <wp:effectExtent l="0" t="0" r="0" b="635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45" w:rsidRDefault="00894C45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94C45" w:rsidRPr="00D92792" w:rsidRDefault="00894C45">
      <w:pPr>
        <w:jc w:val="both"/>
        <w:rPr>
          <w:b/>
          <w:sz w:val="12"/>
          <w:szCs w:val="12"/>
        </w:rPr>
      </w:pPr>
    </w:p>
    <w:p w:rsidR="00894C45" w:rsidRDefault="00894C45">
      <w:pPr>
        <w:pStyle w:val="Zkladntext"/>
        <w:jc w:val="both"/>
        <w:rPr>
          <w:sz w:val="12"/>
          <w:szCs w:val="12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214B26">
        <w:rPr>
          <w:rFonts w:ascii="Arial Narrow" w:hAnsi="Arial Narrow"/>
          <w:spacing w:val="8"/>
          <w:sz w:val="16"/>
        </w:rPr>
        <w:t xml:space="preserve">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>. Žádá</w:t>
      </w:r>
      <w:bookmarkStart w:id="0" w:name="_GoBack"/>
      <w:bookmarkEnd w:id="0"/>
      <w:r>
        <w:rPr>
          <w:rFonts w:ascii="Arial Narrow" w:hAnsi="Arial Narrow"/>
          <w:spacing w:val="8"/>
          <w:sz w:val="16"/>
        </w:rPr>
        <w:t xml:space="preserve">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  <w:r>
        <w:t xml:space="preserve"> </w:t>
      </w:r>
    </w:p>
    <w:p w:rsidR="00894C45" w:rsidRPr="00D92792" w:rsidRDefault="00894C45">
      <w:pPr>
        <w:pStyle w:val="Zkladntext"/>
        <w:jc w:val="both"/>
        <w:rPr>
          <w:sz w:val="16"/>
          <w:szCs w:val="16"/>
        </w:rPr>
      </w:pPr>
      <w:r>
        <w:t xml:space="preserve"> </w:t>
      </w:r>
      <w:r w:rsidRPr="00D92792">
        <w:rPr>
          <w:sz w:val="16"/>
          <w:szCs w:val="16"/>
        </w:rPr>
        <w:t xml:space="preserve">        </w:t>
      </w:r>
    </w:p>
    <w:p w:rsidR="00894C45" w:rsidRDefault="00894C45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>PLAZMA</w:t>
      </w:r>
    </w:p>
    <w:p w:rsidR="00894C45" w:rsidRDefault="00894C45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plazma deleukotizovaná</w:t>
      </w:r>
    </w:p>
    <w:p w:rsidR="00894C45" w:rsidRDefault="00894C45">
      <w:pPr>
        <w:rPr>
          <w:rFonts w:ascii="Arial Black" w:hAnsi="Arial Black"/>
          <w:b/>
          <w:caps/>
          <w:sz w:val="18"/>
        </w:rPr>
      </w:pPr>
      <w:r>
        <w:rPr>
          <w:rFonts w:ascii="Arial Black" w:hAnsi="Arial Black"/>
          <w:b/>
          <w:caps/>
          <w:sz w:val="18"/>
        </w:rPr>
        <w:t xml:space="preserve">                 plazma z aferézy</w:t>
      </w:r>
    </w:p>
    <w:p w:rsidR="00894C45" w:rsidRDefault="00894C45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Zkratka:</w:t>
      </w:r>
      <w:r>
        <w:rPr>
          <w:color w:val="auto"/>
          <w:sz w:val="16"/>
        </w:rPr>
        <w:t xml:space="preserve">  </w:t>
      </w:r>
      <w:r>
        <w:rPr>
          <w:color w:val="auto"/>
          <w:sz w:val="18"/>
        </w:rPr>
        <w:t>P, PD, PA</w:t>
      </w:r>
    </w:p>
    <w:p w:rsidR="00894C45" w:rsidRPr="00D92792" w:rsidRDefault="00894C45" w:rsidP="00936C37">
      <w:pPr>
        <w:jc w:val="center"/>
        <w:rPr>
          <w:sz w:val="12"/>
          <w:szCs w:val="12"/>
        </w:rPr>
      </w:pP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 Olomouc – C 2059.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jc w:val="both"/>
        <w:rPr>
          <w:sz w:val="22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Normální plazmatické hladiny stabilních koagulačních faktorů, albuminu a imunoglobulinů. Obsahuje nejméně 70 % původního faktoru VIIIc a nejméně podobné množství dalších labilních koagulačních faktorů a přirozených inhibitorů.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Celková bílkovina nejméně 50 g/l.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Reziduální buňky: erytrocyty </w:t>
      </w:r>
      <w:r>
        <w:rPr>
          <w:sz w:val="14"/>
        </w:rPr>
        <w:t>&lt;</w:t>
      </w:r>
      <w:r>
        <w:rPr>
          <w:rFonts w:ascii="Arial" w:hAnsi="Arial"/>
          <w:sz w:val="14"/>
        </w:rPr>
        <w:t>6,0 x 10</w:t>
      </w:r>
      <w:r w:rsidRPr="004C0AA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/l, leukocyty </w:t>
      </w:r>
      <w:r>
        <w:rPr>
          <w:sz w:val="14"/>
        </w:rPr>
        <w:t>&lt;</w:t>
      </w:r>
      <w:r>
        <w:rPr>
          <w:rFonts w:ascii="Arial" w:hAnsi="Arial"/>
          <w:sz w:val="14"/>
        </w:rPr>
        <w:t>0,1 x 10</w:t>
      </w:r>
      <w:r w:rsidRPr="004C0AA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/l, trombocyty </w:t>
      </w:r>
      <w:r>
        <w:rPr>
          <w:sz w:val="14"/>
        </w:rPr>
        <w:t>&lt;</w:t>
      </w:r>
      <w:r>
        <w:rPr>
          <w:rFonts w:ascii="Arial" w:hAnsi="Arial"/>
          <w:sz w:val="14"/>
        </w:rPr>
        <w:t>50 x 10</w:t>
      </w:r>
      <w:r w:rsidRPr="004C0AA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/l. </w:t>
      </w:r>
    </w:p>
    <w:p w:rsidR="00894C45" w:rsidRDefault="00894C45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Antikoagulační roztok CPD (u P, PD), antikoagulační roztok Sodium citrate 4% (u PA).</w:t>
      </w:r>
    </w:p>
    <w:p w:rsidR="00894C45" w:rsidRDefault="00894C45">
      <w:pPr>
        <w:jc w:val="both"/>
        <w:rPr>
          <w:rFonts w:ascii="Arial" w:hAnsi="Arial"/>
          <w:sz w:val="14"/>
          <w:u w:val="single"/>
        </w:rPr>
      </w:pPr>
    </w:p>
    <w:p w:rsidR="00894C45" w:rsidRDefault="00894C45">
      <w:pPr>
        <w:jc w:val="both"/>
        <w:rPr>
          <w:rFonts w:ascii="Arial" w:hAnsi="Arial"/>
          <w:sz w:val="14"/>
          <w:u w:val="thick"/>
        </w:rPr>
      </w:pPr>
      <w:r>
        <w:rPr>
          <w:rFonts w:ascii="Arial" w:hAnsi="Arial"/>
          <w:sz w:val="14"/>
          <w:u w:val="single"/>
        </w:rPr>
        <w:t xml:space="preserve"> </w:t>
      </w:r>
      <w:r>
        <w:rPr>
          <w:rFonts w:ascii="Arial" w:hAnsi="Arial"/>
          <w:b/>
          <w:sz w:val="14"/>
          <w:u w:val="single"/>
        </w:rPr>
        <w:t>Indikační skupina: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Pr="005449C1" w:rsidRDefault="00894C45">
      <w:pPr>
        <w:jc w:val="both"/>
        <w:rPr>
          <w:rFonts w:ascii="Arial" w:hAnsi="Arial"/>
          <w:sz w:val="14"/>
        </w:rPr>
      </w:pPr>
      <w:r w:rsidRPr="005449C1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0207921</w:t>
      </w:r>
    </w:p>
    <w:p w:rsidR="00894C45" w:rsidRPr="00D92792" w:rsidRDefault="00894C45" w:rsidP="005449C1">
      <w:pPr>
        <w:rPr>
          <w:sz w:val="12"/>
          <w:szCs w:val="12"/>
        </w:r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894C45" w:rsidRDefault="00894C45">
      <w:pPr>
        <w:pStyle w:val="Titulek"/>
        <w:jc w:val="both"/>
        <w:rPr>
          <w:rFonts w:ascii="Arial" w:hAnsi="Arial"/>
          <w:b w:val="0"/>
          <w:caps w:val="0"/>
          <w:color w:val="auto"/>
          <w:sz w:val="14"/>
        </w:rPr>
      </w:pPr>
      <w:r>
        <w:rPr>
          <w:rFonts w:ascii="Arial" w:hAnsi="Arial"/>
          <w:b w:val="0"/>
          <w:caps w:val="0"/>
          <w:color w:val="auto"/>
          <w:sz w:val="14"/>
        </w:rPr>
        <w:t>Plazma je transfuzní přípravek získaný buď z  plné krve centrifugací a následným oddělením plazmy od erytrocytů nebo získaný odběrem technikou aferézy (= pomocí automatických přístrojů pro separaci krevních buněk) a následně zmrazený během jedné hodiny</w:t>
      </w:r>
      <w:r w:rsidRPr="00647C86">
        <w:rPr>
          <w:rFonts w:ascii="Arial" w:hAnsi="Arial"/>
          <w:b w:val="0"/>
          <w:caps w:val="0"/>
          <w:color w:val="auto"/>
          <w:sz w:val="14"/>
        </w:rPr>
        <w:t xml:space="preserve"> na </w:t>
      </w:r>
      <w:smartTag w:uri="urn:schemas-microsoft-com:office:smarttags" w:element="metricconverter">
        <w:smartTagPr>
          <w:attr w:name="ProductID" w:val="-30 ﾰC"/>
        </w:smartTagPr>
        <w:r w:rsidRPr="00647C86">
          <w:rPr>
            <w:rFonts w:ascii="Arial" w:hAnsi="Arial"/>
            <w:b w:val="0"/>
            <w:caps w:val="0"/>
            <w:color w:val="auto"/>
            <w:sz w:val="14"/>
          </w:rPr>
          <w:t>-30</w:t>
        </w:r>
        <w:r>
          <w:rPr>
            <w:rFonts w:ascii="Arial" w:hAnsi="Arial"/>
            <w:b w:val="0"/>
            <w:caps w:val="0"/>
            <w:color w:val="auto"/>
            <w:sz w:val="14"/>
          </w:rPr>
          <w:t xml:space="preserve"> </w:t>
        </w:r>
        <w:r w:rsidRPr="00647C86">
          <w:rPr>
            <w:rFonts w:ascii="Arial" w:hAnsi="Arial"/>
            <w:b w:val="0"/>
            <w:caps w:val="0"/>
            <w:color w:val="auto"/>
            <w:sz w:val="14"/>
          </w:rPr>
          <w:t>°</w:t>
        </w:r>
        <w:r>
          <w:rPr>
            <w:rFonts w:ascii="Arial" w:hAnsi="Arial"/>
            <w:b w:val="0"/>
            <w:caps w:val="0"/>
            <w:color w:val="auto"/>
            <w:sz w:val="14"/>
          </w:rPr>
          <w:t>C</w:t>
        </w:r>
      </w:smartTag>
      <w:r>
        <w:rPr>
          <w:rFonts w:ascii="Arial" w:hAnsi="Arial"/>
          <w:b w:val="0"/>
          <w:caps w:val="0"/>
          <w:color w:val="auto"/>
          <w:sz w:val="14"/>
        </w:rPr>
        <w:t>, aby zůstaly zachovány labilní koagulační faktory ve funkčním stavu. Plazma je uvolněna pro klinické použití po 6 měsíční karanténě.</w:t>
      </w:r>
    </w:p>
    <w:p w:rsidR="00894C45" w:rsidRPr="00D92792" w:rsidRDefault="00894C45">
      <w:pPr>
        <w:jc w:val="both"/>
        <w:rPr>
          <w:rFonts w:ascii="Arial" w:hAnsi="Arial"/>
          <w:b/>
          <w:sz w:val="12"/>
          <w:szCs w:val="12"/>
          <w:u w:val="single"/>
        </w:rPr>
      </w:pPr>
    </w:p>
    <w:p w:rsidR="00894C45" w:rsidRPr="00C31AB6" w:rsidRDefault="00894C45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200 ml – 320 ml</w:t>
      </w:r>
    </w:p>
    <w:p w:rsidR="00894C45" w:rsidRPr="00D92792" w:rsidRDefault="00894C45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krvácení nebo příprava před invazivním zákrokem u nemocných s vrozeným nebo získaným nedostatkem koagulačních faktorů, pokud není k dispozici koncentrát daného faktoru.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Masivní transfuze krve spojená s náhradou většího objemu krve v průběhu několika hodin při známkách nedostatečné koagulace a při trvalém krvácení.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Zrušení kumarinového efektu (pokud je nezbytné dosáhnout okamžitou hemostázu k zástavě akutního krvácení nebo před neodkladným zákrokem).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Vrozený nebo získaný nedostatek koagulačních faktorů, pokud není k dispozici specifický koncentrát faktoru. Ze získaných defektů je to především u vážných onemocnění jater, dále při DIC nebo poruše metabolismu vitamínu K.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Defekt přirozených inhibitorů krevního srážení, pokud není k dispozici koncentrát – především antitrombin III.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Náhrada plazmy u trombotické trombocytopenické purpury nebo hemolyticko-uremického syndromu.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Nemoci z popálení na přechodu do 2. fáze.</w:t>
      </w:r>
    </w:p>
    <w:p w:rsidR="00894C45" w:rsidRDefault="00894C45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nemoc novorozence, a to pro resuspenzi erytrocytů v rámci výměnné transfuze.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894C45" w:rsidRDefault="00894C45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u pacientů s nesnášenlivostí plazmatických bílkovin,</w:t>
      </w:r>
    </w:p>
    <w:p w:rsidR="00894C45" w:rsidRDefault="00894C45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relativní hypervolémie,</w:t>
      </w:r>
    </w:p>
    <w:p w:rsidR="00894C45" w:rsidRDefault="00894C45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v případech, kde lze dosáhnout normalizace koagulačních faktorů jiným způsobem léčby,</w:t>
      </w:r>
    </w:p>
    <w:p w:rsidR="00894C45" w:rsidRPr="00C31AB6" w:rsidRDefault="00894C45" w:rsidP="006A5E1B">
      <w:pPr>
        <w:pStyle w:val="Zkladntextodsazen2"/>
        <w:numPr>
          <w:ilvl w:val="0"/>
          <w:numId w:val="30"/>
        </w:numPr>
        <w:tabs>
          <w:tab w:val="clear" w:pos="284"/>
          <w:tab w:val="clear" w:pos="720"/>
          <w:tab w:val="num" w:pos="360"/>
        </w:tabs>
        <w:ind w:left="360"/>
        <w:jc w:val="both"/>
        <w:rPr>
          <w:b/>
        </w:rPr>
      </w:pPr>
      <w:r w:rsidRPr="00C31AB6">
        <w:rPr>
          <w:b/>
        </w:rPr>
        <w:t>Přípravek se nemá používat:</w:t>
      </w:r>
    </w:p>
    <w:p w:rsidR="00894C45" w:rsidRDefault="00894C45" w:rsidP="006A5E1B">
      <w:pPr>
        <w:pStyle w:val="Zkladntextodsazen"/>
        <w:numPr>
          <w:ilvl w:val="0"/>
          <w:numId w:val="38"/>
        </w:numPr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k pouhé úpravě objemového deficitu při absenci deficitu koagulačních faktorů, ani jako zdroj imunoglobulinů,</w:t>
      </w:r>
    </w:p>
    <w:p w:rsidR="00894C45" w:rsidRDefault="00894C45" w:rsidP="006A5E1B">
      <w:pPr>
        <w:pStyle w:val="Zkladntextodsazen"/>
        <w:numPr>
          <w:ilvl w:val="0"/>
          <w:numId w:val="30"/>
        </w:numPr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v případech, kde je k dispozici alternativní výrobek, v němž byly inaktivovány viry,</w:t>
      </w:r>
    </w:p>
    <w:p w:rsidR="00894C45" w:rsidRDefault="00894C45" w:rsidP="006A5E1B">
      <w:pPr>
        <w:pStyle w:val="Zkladntextodsazen"/>
        <w:numPr>
          <w:ilvl w:val="0"/>
          <w:numId w:val="30"/>
        </w:numPr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lastRenderedPageBreak/>
        <w:t>jako výživa nebo ke zlepšení hojení ran a ke zlepšení celkového stavu pacienta.</w:t>
      </w:r>
    </w:p>
    <w:p w:rsidR="00894C45" w:rsidRDefault="00894C45" w:rsidP="006A5E1B">
      <w:pPr>
        <w:pStyle w:val="Zkladntextodsazen2"/>
        <w:tabs>
          <w:tab w:val="clear" w:pos="284"/>
        </w:tabs>
        <w:ind w:left="0"/>
        <w:jc w:val="both"/>
      </w:pP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citrátová intoxikace při rychlé transfuzi velkých objemů,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 a kopřivka),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HIV) je možný bez ohledu na pečlivý výběr dárců                 a screeningová vyšetření,</w:t>
      </w:r>
    </w:p>
    <w:p w:rsidR="00894C45" w:rsidRDefault="00894C4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894C45" w:rsidRDefault="00894C4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akutní poškození plic vyvolané transfuzí (TRALI), </w:t>
      </w:r>
    </w:p>
    <w:p w:rsidR="00894C45" w:rsidRDefault="00894C4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894C45" w:rsidRPr="00D92792" w:rsidRDefault="00894C45">
      <w:pPr>
        <w:jc w:val="center"/>
        <w:rPr>
          <w:rFonts w:ascii="Arial" w:hAnsi="Arial"/>
          <w:b/>
          <w:sz w:val="12"/>
          <w:szCs w:val="12"/>
          <w:u w:val="single"/>
        </w:rPr>
      </w:pPr>
    </w:p>
    <w:p w:rsidR="00894C45" w:rsidRDefault="00894C45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94C45" w:rsidRPr="00D92792" w:rsidRDefault="00894C45">
      <w:pPr>
        <w:jc w:val="both"/>
        <w:rPr>
          <w:rFonts w:ascii="Arial" w:hAnsi="Arial"/>
          <w:sz w:val="12"/>
          <w:szCs w:val="12"/>
        </w:r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 určuje  lékař. Doporučená úvodní dávka plazmy je 10 </w:t>
      </w:r>
      <w:r w:rsidR="00214B26">
        <w:rPr>
          <w:rFonts w:ascii="Arial" w:hAnsi="Arial"/>
          <w:sz w:val="14"/>
        </w:rPr>
        <w:t xml:space="preserve">ml </w:t>
      </w:r>
      <w:r>
        <w:rPr>
          <w:rFonts w:ascii="Arial" w:hAnsi="Arial"/>
          <w:sz w:val="14"/>
        </w:rPr>
        <w:t>– 20 ml na kg tělesné hmotnosti příjemce.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Plazma se používá skupinově kompatibilní (AB0), není třeba respektovat RhD faktor.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Rozmrazení se provádí ve vodní lázni +</w:t>
      </w:r>
      <w:smartTag w:uri="urn:schemas-microsoft-com:office:smarttags" w:element="metricconverter">
        <w:smartTagPr>
          <w:attr w:name="ProductID" w:val="37 ﾰC"/>
        </w:smartTagPr>
        <w:r>
          <w:rPr>
            <w:rFonts w:ascii="Arial" w:hAnsi="Arial"/>
            <w:sz w:val="14"/>
          </w:rPr>
          <w:t>37 °C</w:t>
        </w:r>
      </w:smartTag>
      <w:r>
        <w:rPr>
          <w:rFonts w:ascii="Arial" w:hAnsi="Arial"/>
          <w:sz w:val="14"/>
        </w:rPr>
        <w:t xml:space="preserve"> nebo v rozmrazovači za šetrného promíchávání.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bezprostředně po rozmrazení. 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Plazma musí být spotřebována do 4 hodin od rozmrazení.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nesmí znovu zmrazit ani uchovávat v tekutém stavu.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intravenózně  transfuzním  setem s  filtrem  o  velikosti 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se musí zkontrolovat neporušenost obalu, </w:t>
      </w:r>
      <w:r w:rsidRPr="00647C86">
        <w:rPr>
          <w:rFonts w:ascii="Arial" w:hAnsi="Arial"/>
          <w:sz w:val="14"/>
        </w:rPr>
        <w:t>vzhled a</w:t>
      </w:r>
      <w:r>
        <w:rPr>
          <w:rFonts w:ascii="Arial" w:hAnsi="Arial"/>
          <w:sz w:val="14"/>
        </w:rPr>
        <w:t xml:space="preserve"> barva plazmy.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 rozmrazení by neměl být viditelný žádný nerozpuštěný kryoprotein.</w:t>
      </w:r>
    </w:p>
    <w:p w:rsidR="00894C45" w:rsidRDefault="00894C45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Kontrola dokumentace, čísla a typu transfuzního přípravku, doby použitelnosti a krevní skupiny. </w:t>
      </w: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Vše musí souhlasit s číslem uvedeným na průvodce testech slučitelnosti.                           </w:t>
      </w:r>
    </w:p>
    <w:p w:rsidR="00894C45" w:rsidRDefault="00894C45">
      <w:pPr>
        <w:jc w:val="both"/>
        <w:rPr>
          <w:rFonts w:ascii="Arial" w:hAnsi="Arial"/>
          <w:sz w:val="14"/>
        </w:rPr>
      </w:pPr>
    </w:p>
    <w:p w:rsidR="00894C45" w:rsidRDefault="00894C45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94C45" w:rsidRDefault="00894C45" w:rsidP="002B5DE5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Před vydáním P, PD, PA se provádí kontrola shody krevní skupiny pacienta a transfuzního přípravku.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94C45" w:rsidRDefault="00894C45" w:rsidP="006A5E1B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 nebo podezření na ně.</w:t>
      </w:r>
    </w:p>
    <w:p w:rsidR="00894C45" w:rsidRPr="005449C1" w:rsidRDefault="00894C45" w:rsidP="005449C1">
      <w:pPr>
        <w:pStyle w:val="Zkladntextodsazen"/>
        <w:numPr>
          <w:ilvl w:val="0"/>
          <w:numId w:val="37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5449C1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5449C1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5449C1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94C45" w:rsidRDefault="00894C45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</w:p>
    <w:p w:rsidR="00894C45" w:rsidRDefault="00894C45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894C45" w:rsidRDefault="00894C45">
      <w:pPr>
        <w:pStyle w:val="Seznamsodrkami"/>
        <w:numPr>
          <w:ilvl w:val="0"/>
          <w:numId w:val="8"/>
        </w:numPr>
      </w:pPr>
      <w:r>
        <w:t xml:space="preserve">různé typy nesnášenlivosti plazmy. </w:t>
      </w:r>
    </w:p>
    <w:p w:rsidR="00894C45" w:rsidRDefault="00894C45">
      <w:pPr>
        <w:pStyle w:val="Seznamsodrkami"/>
        <w:numPr>
          <w:ilvl w:val="0"/>
          <w:numId w:val="0"/>
        </w:num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894C45" w:rsidRPr="00F577CF" w:rsidRDefault="00894C45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Přípravek se uchovává v mraznici při kontrolované teplotě –25 </w:t>
      </w:r>
      <w:r>
        <w:rPr>
          <w:rFonts w:ascii="Arial" w:hAnsi="Arial"/>
          <w:color w:val="auto"/>
          <w:sz w:val="14"/>
          <w:szCs w:val="14"/>
        </w:rPr>
        <w:sym w:font="Symbol" w:char="F0B0"/>
      </w:r>
      <w:r>
        <w:rPr>
          <w:rFonts w:ascii="Arial" w:hAnsi="Arial"/>
          <w:color w:val="auto"/>
          <w:sz w:val="14"/>
          <w:lang w:val="cs-CZ"/>
        </w:rPr>
        <w:t>C nebo nižší.</w:t>
      </w:r>
    </w:p>
    <w:p w:rsidR="00894C45" w:rsidRDefault="00894C45" w:rsidP="00F577CF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36 měsíců od odběru a je uvedena na štítku transfuzního přípravku.</w:t>
      </w:r>
    </w:p>
    <w:p w:rsidR="00894C45" w:rsidRDefault="00894C45">
      <w:pPr>
        <w:jc w:val="both"/>
        <w:rPr>
          <w:rFonts w:ascii="Arial" w:hAnsi="Arial"/>
          <w:b/>
          <w:i/>
          <w:sz w:val="14"/>
        </w:rPr>
      </w:pPr>
    </w:p>
    <w:p w:rsidR="00894C45" w:rsidRDefault="00894C4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1 T.U. obsahuje plazmu pro klinické použití.</w:t>
      </w:r>
    </w:p>
    <w:p w:rsidR="00894C45" w:rsidRDefault="00894C45">
      <w:pPr>
        <w:jc w:val="both"/>
        <w:rPr>
          <w:rFonts w:ascii="Arial" w:hAnsi="Arial"/>
          <w:b/>
          <w:i/>
          <w:sz w:val="14"/>
        </w:rPr>
      </w:pPr>
    </w:p>
    <w:p w:rsidR="00894C45" w:rsidRDefault="00894C4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94C45" w:rsidRPr="00EB3CEB" w:rsidRDefault="00894C45">
      <w:pPr>
        <w:tabs>
          <w:tab w:val="left" w:pos="284"/>
        </w:tabs>
        <w:jc w:val="both"/>
        <w:rPr>
          <w:rFonts w:ascii="Arial" w:hAnsi="Arial"/>
          <w:sz w:val="14"/>
        </w:rPr>
      </w:pPr>
      <w:r w:rsidRPr="00EB3CEB">
        <w:rPr>
          <w:rFonts w:ascii="Arial" w:hAnsi="Arial" w:cs="Arial"/>
          <w:sz w:val="14"/>
          <w:szCs w:val="22"/>
        </w:rPr>
        <w:t>Teplota přepravy plazmy je shodná jako teplota skladování &lt;-</w:t>
      </w:r>
      <w:smartTag w:uri="urn:schemas-microsoft-com:office:smarttags" w:element="metricconverter">
        <w:smartTagPr>
          <w:attr w:name="ProductID" w:val="25 °C"/>
        </w:smartTagPr>
        <w:r w:rsidRPr="00EB3CEB">
          <w:rPr>
            <w:rFonts w:ascii="Arial" w:hAnsi="Arial" w:cs="Arial"/>
            <w:sz w:val="14"/>
            <w:szCs w:val="22"/>
          </w:rPr>
          <w:t>25 °C</w:t>
        </w:r>
      </w:smartTag>
      <w:r w:rsidRPr="00EB3CEB">
        <w:rPr>
          <w:rFonts w:ascii="Arial" w:hAnsi="Arial" w:cs="Arial"/>
          <w:sz w:val="14"/>
          <w:szCs w:val="22"/>
        </w:rPr>
        <w:t xml:space="preserve">. V případě doby transportu do 6 hodin lze akceptovat teplotu nad </w:t>
      </w:r>
      <w:smartTag w:uri="urn:schemas-microsoft-com:office:smarttags" w:element="metricconverter">
        <w:smartTagPr>
          <w:attr w:name="ProductID" w:val="-25 °C"/>
        </w:smartTagPr>
        <w:r w:rsidRPr="00EB3CEB">
          <w:rPr>
            <w:rFonts w:ascii="Arial" w:hAnsi="Arial" w:cs="Arial"/>
            <w:sz w:val="14"/>
            <w:szCs w:val="22"/>
          </w:rPr>
          <w:t>-25 °C</w:t>
        </w:r>
      </w:smartTag>
      <w:r>
        <w:rPr>
          <w:rFonts w:ascii="Arial" w:hAnsi="Arial" w:cs="Arial"/>
          <w:sz w:val="14"/>
          <w:szCs w:val="22"/>
        </w:rPr>
        <w:t>,</w:t>
      </w:r>
      <w:r w:rsidRPr="00EB3CEB">
        <w:rPr>
          <w:rFonts w:ascii="Arial" w:hAnsi="Arial" w:cs="Arial"/>
          <w:sz w:val="14"/>
          <w:szCs w:val="22"/>
        </w:rPr>
        <w:t xml:space="preserve"> maximálně však do </w:t>
      </w:r>
      <w:smartTag w:uri="urn:schemas-microsoft-com:office:smarttags" w:element="metricconverter">
        <w:smartTagPr>
          <w:attr w:name="ProductID" w:val="-18 °C"/>
        </w:smartTagPr>
        <w:r w:rsidRPr="00EB3CEB">
          <w:rPr>
            <w:rFonts w:ascii="Arial" w:hAnsi="Arial" w:cs="Arial"/>
            <w:sz w:val="14"/>
            <w:szCs w:val="22"/>
          </w:rPr>
          <w:t>-18 °C</w:t>
        </w:r>
      </w:smartTag>
      <w:r w:rsidRPr="00EB3CEB">
        <w:rPr>
          <w:rFonts w:ascii="Arial" w:hAnsi="Arial" w:cs="Arial"/>
          <w:sz w:val="14"/>
          <w:szCs w:val="22"/>
        </w:rPr>
        <w:t>.</w:t>
      </w:r>
    </w:p>
    <w:p w:rsidR="00894C45" w:rsidRDefault="00894C45" w:rsidP="000E2E54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894C45" w:rsidRDefault="00894C45" w:rsidP="000E2E54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894C45" w:rsidRPr="000E2E54" w:rsidRDefault="00214B26" w:rsidP="000E2E54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894C45">
        <w:rPr>
          <w:rFonts w:ascii="Arial" w:hAnsi="Arial"/>
          <w:sz w:val="14"/>
        </w:rPr>
        <w:t xml:space="preserve"> 201</w:t>
      </w:r>
      <w:r w:rsidR="009D2E21">
        <w:rPr>
          <w:rFonts w:ascii="Arial" w:hAnsi="Arial"/>
          <w:sz w:val="14"/>
        </w:rPr>
        <w:t>8</w:t>
      </w:r>
      <w:r w:rsidR="00894C45">
        <w:rPr>
          <w:rFonts w:ascii="Arial" w:hAnsi="Arial"/>
          <w:sz w:val="14"/>
        </w:rPr>
        <w:t xml:space="preserve"> – verze č. 0</w:t>
      </w:r>
      <w:r w:rsidR="009D2E21">
        <w:rPr>
          <w:rFonts w:ascii="Arial" w:hAnsi="Arial"/>
          <w:sz w:val="14"/>
        </w:rPr>
        <w:t>7</w:t>
      </w:r>
    </w:p>
    <w:sectPr w:rsidR="00894C45" w:rsidRPr="000E2E54" w:rsidSect="00CC0CEF">
      <w:footerReference w:type="default" r:id="rId8"/>
      <w:pgSz w:w="8392" w:h="11907" w:code="11"/>
      <w:pgMar w:top="284" w:right="851" w:bottom="567" w:left="851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C8" w:rsidRDefault="00067EC8">
      <w:r>
        <w:separator/>
      </w:r>
    </w:p>
  </w:endnote>
  <w:endnote w:type="continuationSeparator" w:id="0">
    <w:p w:rsidR="00067EC8" w:rsidRDefault="0006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45" w:rsidRDefault="002F46D6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894C45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CC0CEF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894C45">
      <w:rPr>
        <w:rStyle w:val="slostrnky"/>
        <w:sz w:val="14"/>
      </w:rP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C8" w:rsidRDefault="00067EC8">
      <w:r>
        <w:separator/>
      </w:r>
    </w:p>
  </w:footnote>
  <w:footnote w:type="continuationSeparator" w:id="0">
    <w:p w:rsidR="00067EC8" w:rsidRDefault="0006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440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C2BAE"/>
    <w:multiLevelType w:val="multilevel"/>
    <w:tmpl w:val="D4AE95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abstractNum w:abstractNumId="2" w15:restartNumberingAfterBreak="0">
    <w:nsid w:val="01833A54"/>
    <w:multiLevelType w:val="multilevel"/>
    <w:tmpl w:val="BEA8D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871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538"/>
    <w:multiLevelType w:val="multilevel"/>
    <w:tmpl w:val="49BE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161B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453E3E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AE12647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847FCA"/>
    <w:multiLevelType w:val="multilevel"/>
    <w:tmpl w:val="6130E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A52F8"/>
    <w:multiLevelType w:val="multilevel"/>
    <w:tmpl w:val="889EA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E1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E3D5AB0"/>
    <w:multiLevelType w:val="multilevel"/>
    <w:tmpl w:val="BBECE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E3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C3B288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8004E5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5E4FDD"/>
    <w:multiLevelType w:val="multilevel"/>
    <w:tmpl w:val="19067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72CAD"/>
    <w:multiLevelType w:val="hybridMultilevel"/>
    <w:tmpl w:val="37BC9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23B2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B2076A"/>
    <w:multiLevelType w:val="multilevel"/>
    <w:tmpl w:val="296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E5A39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5F498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7"/>
  </w:num>
  <w:num w:numId="11">
    <w:abstractNumId w:val="5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2"/>
  </w:num>
  <w:num w:numId="17">
    <w:abstractNumId w:val="23"/>
  </w:num>
  <w:num w:numId="18">
    <w:abstractNumId w:val="2"/>
  </w:num>
  <w:num w:numId="19">
    <w:abstractNumId w:val="16"/>
  </w:num>
  <w:num w:numId="20">
    <w:abstractNumId w:val="10"/>
  </w:num>
  <w:num w:numId="21">
    <w:abstractNumId w:val="19"/>
  </w:num>
  <w:num w:numId="22">
    <w:abstractNumId w:val="21"/>
  </w:num>
  <w:num w:numId="23">
    <w:abstractNumId w:val="18"/>
  </w:num>
  <w:num w:numId="24">
    <w:abstractNumId w:val="26"/>
  </w:num>
  <w:num w:numId="25">
    <w:abstractNumId w:val="22"/>
  </w:num>
  <w:num w:numId="26">
    <w:abstractNumId w:val="25"/>
  </w:num>
  <w:num w:numId="27">
    <w:abstractNumId w:val="11"/>
  </w:num>
  <w:num w:numId="28">
    <w:abstractNumId w:val="8"/>
  </w:num>
  <w:num w:numId="29">
    <w:abstractNumId w:val="20"/>
  </w:num>
  <w:num w:numId="30">
    <w:abstractNumId w:val="17"/>
  </w:num>
  <w:num w:numId="31">
    <w:abstractNumId w:val="28"/>
  </w:num>
  <w:num w:numId="32">
    <w:abstractNumId w:val="15"/>
  </w:num>
  <w:num w:numId="33">
    <w:abstractNumId w:val="1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810"/>
    <w:rsid w:val="00046293"/>
    <w:rsid w:val="00067EC8"/>
    <w:rsid w:val="000E2E54"/>
    <w:rsid w:val="00125231"/>
    <w:rsid w:val="001479EF"/>
    <w:rsid w:val="0019349E"/>
    <w:rsid w:val="001C3124"/>
    <w:rsid w:val="00214B26"/>
    <w:rsid w:val="002229B9"/>
    <w:rsid w:val="0026227F"/>
    <w:rsid w:val="002B5DE5"/>
    <w:rsid w:val="002F46D6"/>
    <w:rsid w:val="00392148"/>
    <w:rsid w:val="003D4014"/>
    <w:rsid w:val="003E1562"/>
    <w:rsid w:val="004402AB"/>
    <w:rsid w:val="00457E27"/>
    <w:rsid w:val="00487E3E"/>
    <w:rsid w:val="0049623E"/>
    <w:rsid w:val="004A77D5"/>
    <w:rsid w:val="004C0AAC"/>
    <w:rsid w:val="004E7EB3"/>
    <w:rsid w:val="0053125B"/>
    <w:rsid w:val="005449C1"/>
    <w:rsid w:val="0056341F"/>
    <w:rsid w:val="005D232B"/>
    <w:rsid w:val="005D5C76"/>
    <w:rsid w:val="005D7E48"/>
    <w:rsid w:val="005E7658"/>
    <w:rsid w:val="006452FA"/>
    <w:rsid w:val="00647C86"/>
    <w:rsid w:val="006A5E1B"/>
    <w:rsid w:val="006C769D"/>
    <w:rsid w:val="00851F83"/>
    <w:rsid w:val="00865F15"/>
    <w:rsid w:val="00894C45"/>
    <w:rsid w:val="008F3546"/>
    <w:rsid w:val="00936C37"/>
    <w:rsid w:val="009D1FC9"/>
    <w:rsid w:val="009D2E21"/>
    <w:rsid w:val="009F4126"/>
    <w:rsid w:val="00A507CA"/>
    <w:rsid w:val="00A74AAF"/>
    <w:rsid w:val="00A92BA7"/>
    <w:rsid w:val="00AE63F3"/>
    <w:rsid w:val="00BA4EF2"/>
    <w:rsid w:val="00BF14FE"/>
    <w:rsid w:val="00C03810"/>
    <w:rsid w:val="00C2361E"/>
    <w:rsid w:val="00C3008C"/>
    <w:rsid w:val="00C31AB6"/>
    <w:rsid w:val="00CC0CEF"/>
    <w:rsid w:val="00CF61B1"/>
    <w:rsid w:val="00D819D6"/>
    <w:rsid w:val="00D92792"/>
    <w:rsid w:val="00D93118"/>
    <w:rsid w:val="00D93BA2"/>
    <w:rsid w:val="00E2542E"/>
    <w:rsid w:val="00EA6021"/>
    <w:rsid w:val="00EB3CEB"/>
    <w:rsid w:val="00F459D5"/>
    <w:rsid w:val="00F577CF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630D13-8F5C-4517-ADDE-148000C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9E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79EF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1479EF"/>
    <w:pPr>
      <w:keepNext/>
      <w:jc w:val="both"/>
      <w:outlineLvl w:val="1"/>
    </w:pPr>
    <w:rPr>
      <w:b/>
      <w:cap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479EF"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1479EF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7A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D7A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7A50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D7A50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1479EF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D7A50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1479EF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1479EF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7A50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1479EF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FD7A50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1479EF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D7A50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1479EF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D7A50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147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7A50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1479EF"/>
    <w:rPr>
      <w:rFonts w:ascii="Broadway" w:hAnsi="Broadway"/>
      <w:b/>
      <w:caps/>
      <w:color w:val="800000"/>
      <w:sz w:val="24"/>
    </w:rPr>
  </w:style>
  <w:style w:type="paragraph" w:styleId="Zkladntext3">
    <w:name w:val="Body Text 3"/>
    <w:basedOn w:val="Normln"/>
    <w:link w:val="Zkladntext3Char"/>
    <w:uiPriority w:val="99"/>
    <w:rsid w:val="001479EF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D7A50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479EF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D7A50"/>
    <w:rPr>
      <w:rFonts w:cs="Times New Roman"/>
    </w:rPr>
  </w:style>
  <w:style w:type="paragraph" w:styleId="Zpat">
    <w:name w:val="footer"/>
    <w:basedOn w:val="Normln"/>
    <w:link w:val="ZpatChar"/>
    <w:uiPriority w:val="99"/>
    <w:rsid w:val="00147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7A50"/>
    <w:rPr>
      <w:rFonts w:cs="Times New Roman"/>
    </w:rPr>
  </w:style>
  <w:style w:type="character" w:styleId="slostrnky">
    <w:name w:val="page number"/>
    <w:basedOn w:val="Standardnpsmoodstavce"/>
    <w:uiPriority w:val="99"/>
    <w:rsid w:val="001479E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B3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30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1002</Words>
  <Characters>5912</Characters>
  <Application>Microsoft Office Word</Application>
  <DocSecurity>0</DocSecurity>
  <Lines>49</Lines>
  <Paragraphs>13</Paragraphs>
  <ScaleCrop>false</ScaleCrop>
  <Company>FN Olomouc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Hrabálek Petr, Ing.</cp:lastModifiedBy>
  <cp:revision>5</cp:revision>
  <cp:lastPrinted>2018-08-16T06:53:00Z</cp:lastPrinted>
  <dcterms:created xsi:type="dcterms:W3CDTF">2018-07-23T09:52:00Z</dcterms:created>
  <dcterms:modified xsi:type="dcterms:W3CDTF">2020-04-16T09:26:00Z</dcterms:modified>
</cp:coreProperties>
</file>