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06" w:rsidRDefault="0034148F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4B51CA" wp14:editId="228DA28D">
            <wp:simplePos x="0" y="0"/>
            <wp:positionH relativeFrom="column">
              <wp:posOffset>0</wp:posOffset>
            </wp:positionH>
            <wp:positionV relativeFrom="paragraph">
              <wp:posOffset>-361950</wp:posOffset>
            </wp:positionV>
            <wp:extent cx="1835150" cy="469900"/>
            <wp:effectExtent l="19050" t="0" r="0" b="0"/>
            <wp:wrapSquare wrapText="bothSides"/>
            <wp:docPr id="1" name="obrázek 2" descr="O:\- O R G A N I Z A Č N Í   N O R M Y\PODKLADY PRO ON - logo\FNOL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:\- O R G A N I Z A Č N Í   N O R M Y\PODKLADY PRO ON - logo\FNOL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455C06" w:rsidRDefault="00455C06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455C06" w:rsidRDefault="00455C06">
      <w:pPr>
        <w:jc w:val="both"/>
        <w:rPr>
          <w:b/>
          <w:sz w:val="16"/>
        </w:rPr>
      </w:pPr>
    </w:p>
    <w:p w:rsidR="00455C06" w:rsidRDefault="00455C06">
      <w:pPr>
        <w:pStyle w:val="Zkladntext"/>
        <w:jc w:val="both"/>
        <w:rPr>
          <w:rFonts w:ascii="Arial Narrow" w:hAnsi="Arial Narrow"/>
          <w:spacing w:val="8"/>
          <w:sz w:val="16"/>
        </w:rPr>
      </w:pPr>
      <w:r>
        <w:rPr>
          <w:rFonts w:ascii="Arial Narrow" w:hAnsi="Arial Narrow"/>
          <w:spacing w:val="8"/>
          <w:sz w:val="16"/>
        </w:rPr>
        <w:t>Transfuzní přípravek, který jste obdrželi, byl vyroben za dodržení všech definovaných postupů</w:t>
      </w:r>
      <w:r w:rsidR="00D55961">
        <w:rPr>
          <w:rFonts w:ascii="Arial Narrow" w:hAnsi="Arial Narrow"/>
          <w:spacing w:val="8"/>
          <w:sz w:val="16"/>
        </w:rPr>
        <w:t xml:space="preserve">        </w:t>
      </w:r>
      <w:r>
        <w:rPr>
          <w:rFonts w:ascii="Arial Narrow" w:hAnsi="Arial Narrow"/>
          <w:spacing w:val="8"/>
          <w:sz w:val="16"/>
        </w:rPr>
        <w:t xml:space="preserve"> 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</w:p>
    <w:p w:rsidR="00455C06" w:rsidRDefault="00455C06">
      <w:pPr>
        <w:pStyle w:val="Zkladntext"/>
        <w:jc w:val="both"/>
      </w:pPr>
      <w:r>
        <w:t xml:space="preserve">                    </w:t>
      </w:r>
    </w:p>
    <w:p w:rsidR="00455C06" w:rsidRDefault="00455C06">
      <w:pPr>
        <w:pStyle w:val="Nadpis6"/>
        <w:tabs>
          <w:tab w:val="left" w:pos="851"/>
        </w:tabs>
        <w:jc w:val="both"/>
        <w:rPr>
          <w:color w:val="auto"/>
          <w:sz w:val="16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      </w:t>
      </w:r>
      <w:r>
        <w:rPr>
          <w:color w:val="auto"/>
          <w:sz w:val="18"/>
        </w:rPr>
        <w:t>TROMBOcyty Z AFERÉZY DELEUKOTIZOVANÉ</w:t>
      </w:r>
    </w:p>
    <w:p w:rsidR="00455C06" w:rsidRDefault="00455C06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</w:t>
      </w:r>
      <w:r>
        <w:rPr>
          <w:color w:val="auto"/>
          <w:sz w:val="18"/>
        </w:rPr>
        <w:t>TAD</w:t>
      </w:r>
    </w:p>
    <w:p w:rsidR="00455C06" w:rsidRPr="00F61DE7" w:rsidRDefault="00455C06">
      <w:pPr>
        <w:jc w:val="both"/>
        <w:rPr>
          <w:sz w:val="16"/>
          <w:szCs w:val="16"/>
        </w:rPr>
      </w:pP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Olomouc, I. P. Pavlova</w:t>
      </w:r>
      <w:r w:rsidR="00D55961">
        <w:rPr>
          <w:rFonts w:ascii="Arial" w:hAnsi="Arial"/>
          <w:sz w:val="14"/>
        </w:rPr>
        <w:t xml:space="preserve"> </w:t>
      </w:r>
      <w:r>
        <w:rPr>
          <w:rFonts w:ascii="Arial" w:hAnsi="Arial"/>
          <w:sz w:val="14"/>
        </w:rPr>
        <w:t>185/6, 779 00  Olomouc – C 2059.</w:t>
      </w:r>
    </w:p>
    <w:p w:rsidR="00455C06" w:rsidRDefault="00455C06">
      <w:pPr>
        <w:jc w:val="both"/>
        <w:rPr>
          <w:caps/>
          <w:sz w:val="14"/>
        </w:rPr>
      </w:pP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455C06" w:rsidRDefault="00455C0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trombocyty v terapeutické účinné formě - více než 200 x 10</w:t>
      </w:r>
      <w:r>
        <w:rPr>
          <w:rFonts w:ascii="Arial" w:hAnsi="Arial"/>
          <w:sz w:val="14"/>
          <w:vertAlign w:val="superscript"/>
        </w:rPr>
        <w:t>9</w:t>
      </w:r>
      <w:r>
        <w:rPr>
          <w:rFonts w:ascii="Arial" w:hAnsi="Arial"/>
          <w:sz w:val="14"/>
        </w:rPr>
        <w:t>/T.U.,</w:t>
      </w:r>
    </w:p>
    <w:p w:rsidR="00455C06" w:rsidRDefault="00455C0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resuspendované v plazmě,</w:t>
      </w:r>
    </w:p>
    <w:p w:rsidR="00455C06" w:rsidRDefault="00455C0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antikoagulační roztok ACD-A, </w:t>
      </w:r>
    </w:p>
    <w:p w:rsidR="00455C06" w:rsidRDefault="00455C0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reziduální leukocyty: méně než 1,0 x 10</w:t>
      </w:r>
      <w:r>
        <w:rPr>
          <w:rFonts w:ascii="Arial" w:hAnsi="Arial"/>
          <w:sz w:val="14"/>
          <w:vertAlign w:val="superscript"/>
        </w:rPr>
        <w:t>6</w:t>
      </w:r>
      <w:r>
        <w:rPr>
          <w:rFonts w:ascii="Arial" w:hAnsi="Arial"/>
          <w:sz w:val="14"/>
        </w:rPr>
        <w:t>/T.U.,</w:t>
      </w:r>
    </w:p>
    <w:p w:rsidR="00455C06" w:rsidRDefault="00455C0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pH na konci doby použitelnosti 6,4 – 7,4.</w:t>
      </w: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</w:p>
    <w:p w:rsidR="00455C06" w:rsidRDefault="00455C06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455C06" w:rsidRDefault="00455C06" w:rsidP="00ED1751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455C06" w:rsidRDefault="00455C06" w:rsidP="00ED1751">
      <w:pPr>
        <w:jc w:val="both"/>
        <w:rPr>
          <w:rFonts w:ascii="Arial" w:hAnsi="Arial"/>
          <w:sz w:val="14"/>
        </w:rPr>
      </w:pPr>
    </w:p>
    <w:p w:rsidR="00455C06" w:rsidRDefault="00455C06" w:rsidP="00ED1751">
      <w:pPr>
        <w:jc w:val="both"/>
        <w:rPr>
          <w:rFonts w:ascii="Arial" w:hAnsi="Arial"/>
          <w:sz w:val="14"/>
        </w:rPr>
      </w:pPr>
      <w:r w:rsidRPr="00ED1751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0107959</w:t>
      </w:r>
    </w:p>
    <w:p w:rsidR="00455C06" w:rsidRPr="00ED1751" w:rsidRDefault="00455C06" w:rsidP="00ED1751">
      <w:pPr>
        <w:jc w:val="both"/>
        <w:rPr>
          <w:rFonts w:ascii="Arial" w:hAnsi="Arial"/>
          <w:sz w:val="14"/>
        </w:rPr>
      </w:pPr>
    </w:p>
    <w:p w:rsidR="00455C06" w:rsidRDefault="00455C06">
      <w:pPr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455C06" w:rsidRDefault="00455C06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TAD je koncentrát trombocytů,  získaný od jednoho dárce trombocytaferézou (= odběr pomocí automatických přístrojů pro separaci krevních buněk od vybraných dárců). Při jeho výrobě dochází k odstranění většiny leukocytů, a to buď in-line filtrací při odběru nebo dodatečnou filtrací již skladovaných trombocytů z aferézy v čase potřeby. </w:t>
      </w:r>
    </w:p>
    <w:p w:rsidR="00455C06" w:rsidRDefault="00455C06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Při validované leukodepleci jsou filtrované trombocytové koncentráty přijímány jako alternativa CMV negativních trombocytů pro prevenci přenosu CMV.</w:t>
      </w:r>
    </w:p>
    <w:p w:rsidR="00455C06" w:rsidRDefault="00455C06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14"/>
        </w:rPr>
      </w:pPr>
    </w:p>
    <w:p w:rsidR="00455C06" w:rsidRPr="002661CB" w:rsidRDefault="00455C06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   </w:t>
      </w:r>
      <w:r>
        <w:rPr>
          <w:rFonts w:ascii="Arial" w:hAnsi="Arial"/>
          <w:sz w:val="14"/>
        </w:rPr>
        <w:t>1 T.U.: více než 40 ml na 60 x 10</w:t>
      </w:r>
      <w:r>
        <w:rPr>
          <w:rFonts w:ascii="Arial" w:hAnsi="Arial"/>
          <w:sz w:val="14"/>
          <w:vertAlign w:val="superscript"/>
        </w:rPr>
        <w:t xml:space="preserve">9 </w:t>
      </w:r>
      <w:r>
        <w:rPr>
          <w:rFonts w:ascii="Arial" w:hAnsi="Arial"/>
          <w:sz w:val="14"/>
        </w:rPr>
        <w:t>trombocytů</w:t>
      </w:r>
    </w:p>
    <w:p w:rsidR="00455C06" w:rsidRDefault="00455C06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455C06" w:rsidRDefault="00455C06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455C06" w:rsidRDefault="00455C06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Těžká trombocytopenie s klinicky významným krvácením, přisuzovaným deficitu trombocytů. </w:t>
      </w:r>
    </w:p>
    <w:p w:rsidR="00455C06" w:rsidRDefault="00455C06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455C06" w:rsidRDefault="00455C06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455C06" w:rsidRDefault="00455C06">
      <w:pPr>
        <w:pStyle w:val="Zkladntextodsazen2"/>
        <w:tabs>
          <w:tab w:val="clear" w:pos="284"/>
        </w:tabs>
        <w:ind w:left="0"/>
        <w:jc w:val="both"/>
      </w:pPr>
      <w:r>
        <w:t>Jednoznačné kontraindikace nejsou známy. Podání by se mělo zvážit v případech, kdy zástavy krvácení spojené s výraznější trombocytopenií lze dosáhnout jiným způsobem léčby.</w:t>
      </w:r>
    </w:p>
    <w:p w:rsidR="00455C06" w:rsidRDefault="00455C06">
      <w:pPr>
        <w:pStyle w:val="Zkladntextodsazen2"/>
        <w:tabs>
          <w:tab w:val="clear" w:pos="284"/>
        </w:tabs>
        <w:ind w:left="0"/>
        <w:jc w:val="both"/>
      </w:pP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455C06" w:rsidRDefault="00455C0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Nehemolytické potransfuzní reakce (hlavně zimnice, horečka, kopřivka), ale vzácněji než po transfuzi nedeleukotizovaného trombocytového koncentrátu.</w:t>
      </w:r>
    </w:p>
    <w:p w:rsidR="00455C06" w:rsidRDefault="00455C0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Aloimunizace především proti HLA a HPA antigenům. Při použití deleukotizovaných trombocytových koncentrátů je riziko HLA imunizace minimální, pokud jsou ostatní podávané transfuzní přípravky rovněž deleukotizovány.</w:t>
      </w:r>
    </w:p>
    <w:p w:rsidR="00455C06" w:rsidRDefault="00455C0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Riziko infekcí přenosných krví (hepatitidy, HIV, syfilis) je možné bez ohledu na pečlivý výběr dárců          a screeningová vyšetření.</w:t>
      </w:r>
    </w:p>
    <w:p w:rsidR="00455C06" w:rsidRDefault="00455C0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malárie).</w:t>
      </w:r>
    </w:p>
    <w:p w:rsidR="00455C06" w:rsidRDefault="00455C0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kontaminací.</w:t>
      </w:r>
    </w:p>
    <w:p w:rsidR="00455C06" w:rsidRDefault="00455C0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Potransfuzní purpura.</w:t>
      </w:r>
    </w:p>
    <w:p w:rsidR="00455C06" w:rsidRDefault="00455C0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Akutní poškození plic vyvolané transfuzí.</w:t>
      </w:r>
    </w:p>
    <w:p w:rsidR="00455C06" w:rsidRDefault="00455C0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Přenos jiných patogenů, které se screeningově netestují nebo nebyly dosud rozpoznány.</w:t>
      </w:r>
    </w:p>
    <w:p w:rsidR="00455C06" w:rsidRDefault="00455C06">
      <w:pPr>
        <w:rPr>
          <w:rFonts w:ascii="Arial" w:hAnsi="Arial"/>
          <w:sz w:val="14"/>
        </w:rPr>
      </w:pPr>
    </w:p>
    <w:p w:rsidR="00455C06" w:rsidRDefault="00455C06">
      <w:pPr>
        <w:rPr>
          <w:rFonts w:ascii="Arial" w:hAnsi="Arial"/>
          <w:sz w:val="14"/>
        </w:rPr>
      </w:pPr>
    </w:p>
    <w:p w:rsidR="00455C06" w:rsidRDefault="00455C06">
      <w:pPr>
        <w:jc w:val="both"/>
        <w:rPr>
          <w:rFonts w:ascii="Arial" w:hAnsi="Arial"/>
          <w:b/>
          <w:sz w:val="14"/>
          <w:u w:val="single"/>
        </w:rPr>
      </w:pPr>
    </w:p>
    <w:p w:rsidR="00455C06" w:rsidRDefault="00455C06">
      <w:pPr>
        <w:jc w:val="both"/>
        <w:rPr>
          <w:rFonts w:ascii="Arial" w:hAnsi="Arial"/>
          <w:b/>
          <w:sz w:val="14"/>
          <w:u w:val="single"/>
        </w:rPr>
      </w:pPr>
    </w:p>
    <w:p w:rsidR="00455C06" w:rsidRDefault="00455C06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455C06" w:rsidRDefault="00455C06">
      <w:pPr>
        <w:jc w:val="center"/>
        <w:rPr>
          <w:rFonts w:ascii="Arial" w:hAnsi="Arial"/>
          <w:sz w:val="14"/>
        </w:rPr>
      </w:pPr>
    </w:p>
    <w:p w:rsidR="00455C06" w:rsidRDefault="00455C06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Dávkování určuje lékař. Přípravek se podává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>m. Trombocytové koncentráty se podávají AB0 Rh</w:t>
      </w:r>
      <w:r w:rsidRPr="00A04E31">
        <w:rPr>
          <w:rFonts w:ascii="Arial" w:hAnsi="Arial"/>
          <w:sz w:val="14"/>
        </w:rPr>
        <w:t>D</w:t>
      </w:r>
      <w:r>
        <w:rPr>
          <w:rFonts w:ascii="Arial" w:hAnsi="Arial"/>
          <w:sz w:val="14"/>
        </w:rPr>
        <w:t xml:space="preserve"> kompatibilní. Jestliže je nutné RhD negativním ženám ve fertilním věku nebo mladším pacientům podat trombocyty od RhD pozitivních dárců, mělo by se za těchto okolností uvažovat o  prevenci RhD imunizace podáním specifického imunoglobulinu anti-RhD. </w:t>
      </w: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Před aplikací je nutno zkontrolovat dokumentaci, číslo a typ transfuzního přípravku, dobu použitelnosti           a krevní skupinu. Vše musí souhlasit s číslem uvedeným na průvodce testech slučitelnosti.</w:t>
      </w:r>
    </w:p>
    <w:p w:rsidR="00455C06" w:rsidRDefault="00455C06">
      <w:pPr>
        <w:pStyle w:val="Seznamsodrkami"/>
        <w:numPr>
          <w:ilvl w:val="0"/>
          <w:numId w:val="0"/>
        </w:numPr>
      </w:pPr>
    </w:p>
    <w:p w:rsidR="00455C06" w:rsidRDefault="00455C06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455C06" w:rsidRDefault="00455C06" w:rsidP="00321728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</w:rPr>
        <w:t>Před vydáním TAD se provádí  kontrola shody krevní skupiny pacienta a transfuzního přípravku.</w:t>
      </w:r>
    </w:p>
    <w:p w:rsidR="00455C06" w:rsidRDefault="00455C0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455C06" w:rsidRDefault="00455C0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Přípravek nelze vrátit zpět na transfuzní oddělení (krevní banku).</w:t>
      </w:r>
    </w:p>
    <w:p w:rsidR="00455C06" w:rsidRDefault="00455C0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455C06" w:rsidRDefault="00455C0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455C06" w:rsidRDefault="00455C0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>Hlásit je třeba nežádoucí reakce související s podáním transfuze, vzniklé během transfuze i po ní nebo podezření na ně.</w:t>
      </w:r>
    </w:p>
    <w:p w:rsidR="00455C06" w:rsidRPr="00ED1751" w:rsidRDefault="00455C06" w:rsidP="00ED1751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ED1751">
        <w:rPr>
          <w:rFonts w:ascii="Arial" w:hAnsi="Arial"/>
          <w:color w:val="auto"/>
          <w:sz w:val="14"/>
          <w:szCs w:val="14"/>
          <w:lang w:val="cs-CZ"/>
        </w:rPr>
        <w:t>Vyhláška o lidské krvi (č.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ED1751">
        <w:rPr>
          <w:rFonts w:ascii="Arial" w:hAnsi="Arial"/>
          <w:color w:val="auto"/>
          <w:sz w:val="14"/>
          <w:szCs w:val="14"/>
          <w:lang w:val="cs-CZ"/>
        </w:rPr>
        <w:t xml:space="preserve">143/2008 Sb., </w:t>
      </w:r>
      <w:r w:rsidRPr="00ED1751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ED1751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ED1751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ED1751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ED1751">
        <w:rPr>
          <w:rFonts w:ascii="Arial" w:hAnsi="Arial"/>
          <w:color w:val="auto"/>
          <w:sz w:val="14"/>
          <w:szCs w:val="14"/>
          <w:lang w:val="cs-CZ"/>
        </w:rPr>
        <w:t>9) z důvodu zajištění hemovigilance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ED1751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ED1751">
        <w:rPr>
          <w:rFonts w:ascii="Arial" w:hAnsi="Arial" w:cs="Arial"/>
          <w:color w:val="auto"/>
          <w:sz w:val="14"/>
          <w:szCs w:val="14"/>
          <w:lang w:val="cs-CZ"/>
        </w:rPr>
        <w:t xml:space="preserve">§ 3) ukládá zdravotnickému zařízení podávající transfuzi (lékař) povinnost oznámit na SÚKL závažnou nežádoucí reakci u příjemce nebo podezření na ni, přičemž se jedná 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        </w:t>
      </w:r>
      <w:r w:rsidRPr="00ED1751">
        <w:rPr>
          <w:rFonts w:ascii="Arial" w:hAnsi="Arial" w:cs="Arial"/>
          <w:color w:val="auto"/>
          <w:sz w:val="14"/>
          <w:szCs w:val="14"/>
          <w:lang w:val="cs-CZ"/>
        </w:rPr>
        <w:t>o reakci, která 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ED1751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455C06" w:rsidRDefault="00455C06">
      <w:pPr>
        <w:pStyle w:val="Zkladntextodsazen"/>
        <w:jc w:val="both"/>
        <w:rPr>
          <w:rFonts w:ascii="Arial" w:hAnsi="Arial"/>
          <w:color w:val="auto"/>
          <w:sz w:val="16"/>
          <w:lang w:val="cs-CZ"/>
        </w:rPr>
      </w:pPr>
    </w:p>
    <w:p w:rsidR="00455C06" w:rsidRDefault="00455C06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455C06" w:rsidRDefault="00455C06">
      <w:pPr>
        <w:pStyle w:val="Seznamsodrkami"/>
        <w:numPr>
          <w:ilvl w:val="0"/>
          <w:numId w:val="8"/>
        </w:numPr>
      </w:pPr>
      <w:r>
        <w:t xml:space="preserve">různé typy nesnášenlivosti plazmy. </w:t>
      </w:r>
    </w:p>
    <w:p w:rsidR="00455C06" w:rsidRDefault="00455C06">
      <w:pPr>
        <w:pStyle w:val="Seznamsodrkami"/>
        <w:numPr>
          <w:ilvl w:val="0"/>
          <w:numId w:val="0"/>
        </w:numPr>
      </w:pPr>
    </w:p>
    <w:p w:rsidR="00455C06" w:rsidRDefault="00455C06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455C06" w:rsidRDefault="00455C06" w:rsidP="00A248C5">
      <w:pPr>
        <w:pStyle w:val="Zkladntext3"/>
        <w:rPr>
          <w:rFonts w:ascii="Arial" w:hAnsi="Arial"/>
          <w:sz w:val="14"/>
        </w:rPr>
      </w:pPr>
      <w:r>
        <w:rPr>
          <w:rFonts w:ascii="Arial" w:hAnsi="Arial"/>
          <w:sz w:val="14"/>
        </w:rPr>
        <w:t>Trombocyty se uchovávají maximálně 5 dnů při kontrolované teplotě +</w:t>
      </w:r>
      <w:smartTag w:uri="urn:schemas-microsoft-com:office:smarttags" w:element="metricconverter">
        <w:smartTagPr>
          <w:attr w:name="ProductID" w:val="20 ﾰC"/>
        </w:smartTagPr>
        <w:r>
          <w:rPr>
            <w:rFonts w:ascii="Arial" w:hAnsi="Arial"/>
            <w:sz w:val="14"/>
          </w:rPr>
          <w:t>20 °C</w:t>
        </w:r>
      </w:smartTag>
      <w:r>
        <w:rPr>
          <w:rFonts w:ascii="Arial" w:hAnsi="Arial"/>
          <w:sz w:val="14"/>
        </w:rPr>
        <w:t xml:space="preserve"> až +24ºC</w:t>
      </w:r>
      <w:r w:rsidR="00FA7980">
        <w:rPr>
          <w:rFonts w:ascii="Arial" w:hAnsi="Arial"/>
          <w:sz w:val="14"/>
        </w:rPr>
        <w:t xml:space="preserve"> </w:t>
      </w:r>
      <w:r w:rsidR="00FA7980" w:rsidRPr="00FA7980">
        <w:rPr>
          <w:rFonts w:ascii="Arial" w:hAnsi="Arial" w:cs="Arial"/>
          <w:sz w:val="14"/>
          <w:szCs w:val="22"/>
        </w:rPr>
        <w:t>(+19,6 °C až +24,4 °C)</w:t>
      </w:r>
      <w:r>
        <w:rPr>
          <w:rFonts w:ascii="Arial" w:hAnsi="Arial"/>
          <w:sz w:val="14"/>
        </w:rPr>
        <w:t xml:space="preserve"> za neustálého promíchávání na validovaných třepačkách. </w:t>
      </w:r>
    </w:p>
    <w:p w:rsidR="00455C06" w:rsidRDefault="00455C06" w:rsidP="00A248C5">
      <w:pPr>
        <w:pStyle w:val="Zkladntext3"/>
        <w:rPr>
          <w:rFonts w:ascii="Arial" w:hAnsi="Arial"/>
          <w:b/>
          <w:i/>
          <w:sz w:val="14"/>
        </w:rPr>
      </w:pPr>
      <w:r>
        <w:rPr>
          <w:rFonts w:ascii="Arial" w:hAnsi="Arial"/>
          <w:sz w:val="14"/>
        </w:rPr>
        <w:t>Míchání trombocytů během uchovávání musí být natolik účinné, aby zaručovalo dostupnost kyslíku a zároveň musí být co nejšetrnější.</w:t>
      </w:r>
    </w:p>
    <w:p w:rsidR="00455C06" w:rsidRDefault="00455C06" w:rsidP="00A248C5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120 hodin a je uvedena na štítku transfuzního přípravku.</w:t>
      </w:r>
    </w:p>
    <w:p w:rsidR="00455C06" w:rsidRDefault="00455C06">
      <w:pPr>
        <w:jc w:val="both"/>
        <w:rPr>
          <w:rFonts w:ascii="Arial" w:hAnsi="Arial"/>
          <w:b/>
          <w:sz w:val="14"/>
          <w:u w:val="single"/>
        </w:rPr>
      </w:pP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455C06" w:rsidRDefault="00455C0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trombocyty resuspendované v plazmě ze separace od jednoho dárce.</w:t>
      </w:r>
    </w:p>
    <w:p w:rsidR="00455C06" w:rsidRDefault="00455C06">
      <w:pPr>
        <w:jc w:val="both"/>
        <w:rPr>
          <w:rFonts w:ascii="Arial" w:hAnsi="Arial"/>
          <w:b/>
          <w:i/>
          <w:sz w:val="14"/>
        </w:rPr>
      </w:pPr>
    </w:p>
    <w:p w:rsidR="00455C06" w:rsidRDefault="00455C06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455C06" w:rsidRPr="00FA7980" w:rsidRDefault="00FA7980" w:rsidP="00EE6553">
      <w:pPr>
        <w:jc w:val="both"/>
        <w:rPr>
          <w:sz w:val="14"/>
        </w:rPr>
      </w:pPr>
      <w:r w:rsidRPr="00FA7980">
        <w:rPr>
          <w:rFonts w:ascii="Arial" w:hAnsi="Arial" w:cs="Arial"/>
          <w:sz w:val="14"/>
        </w:rPr>
        <w:t xml:space="preserve">Termoboxy  pro  přepravu  trombocytů   by  měly  být   před  jejich  použitím  otevřeny  po  dobu   30 minut </w:t>
      </w:r>
      <w:r w:rsidR="00D55961">
        <w:rPr>
          <w:rFonts w:ascii="Arial" w:hAnsi="Arial" w:cs="Arial"/>
          <w:sz w:val="14"/>
        </w:rPr>
        <w:t xml:space="preserve"> </w:t>
      </w:r>
      <w:r w:rsidRPr="00FA7980">
        <w:rPr>
          <w:rFonts w:ascii="Arial" w:hAnsi="Arial" w:cs="Arial"/>
          <w:sz w:val="14"/>
        </w:rPr>
        <w:t xml:space="preserve">při pokojové teplotě. Během přepravy by se měla teplota trombocytových koncentrátů udržovat co nejblíže k doporučované teplotě, tj. +20 ºC až +24 </w:t>
      </w:r>
      <w:r w:rsidRPr="00FA7980">
        <w:rPr>
          <w:rFonts w:ascii="Arial" w:hAnsi="Arial" w:cs="Arial"/>
          <w:sz w:val="14"/>
          <w:szCs w:val="22"/>
        </w:rPr>
        <w:t>ºC (+19,6 °C až +24,4 °C).</w:t>
      </w:r>
      <w:r w:rsidRPr="00FA7980">
        <w:rPr>
          <w:rFonts w:ascii="Arial" w:hAnsi="Arial" w:cs="Arial"/>
          <w:sz w:val="14"/>
        </w:rPr>
        <w:t xml:space="preserve"> Při přepravě kratší než 10 hodin není nutno zajišťovat třepání. Po příjmu by se měly trombocyty uchovávat za doporučených podmínek, pokud </w:t>
      </w:r>
      <w:r w:rsidR="00D55961">
        <w:rPr>
          <w:rFonts w:ascii="Arial" w:hAnsi="Arial" w:cs="Arial"/>
          <w:sz w:val="14"/>
        </w:rPr>
        <w:t xml:space="preserve">     </w:t>
      </w:r>
      <w:r w:rsidRPr="00FA7980">
        <w:rPr>
          <w:rFonts w:ascii="Arial" w:hAnsi="Arial" w:cs="Arial"/>
          <w:sz w:val="14"/>
        </w:rPr>
        <w:t xml:space="preserve">se bezprostředně nepoužijí k transfuzi. Před použitím by se měly dále míchat. Po doručení na oddělení by </w:t>
      </w:r>
      <w:r w:rsidR="00D55961">
        <w:rPr>
          <w:rFonts w:ascii="Arial" w:hAnsi="Arial" w:cs="Arial"/>
          <w:sz w:val="14"/>
        </w:rPr>
        <w:t xml:space="preserve">   </w:t>
      </w:r>
      <w:r w:rsidRPr="00FA7980">
        <w:rPr>
          <w:rFonts w:ascii="Arial" w:hAnsi="Arial" w:cs="Arial"/>
          <w:sz w:val="14"/>
        </w:rPr>
        <w:t>se měly neprodleně aplikovat</w:t>
      </w:r>
      <w:r>
        <w:rPr>
          <w:rFonts w:ascii="Arial" w:hAnsi="Arial" w:cs="Arial"/>
          <w:sz w:val="14"/>
        </w:rPr>
        <w:t>.</w:t>
      </w:r>
    </w:p>
    <w:p w:rsidR="00455C06" w:rsidRDefault="00455C06">
      <w:pPr>
        <w:jc w:val="both"/>
        <w:rPr>
          <w:sz w:val="22"/>
        </w:rPr>
      </w:pPr>
    </w:p>
    <w:p w:rsidR="00455C06" w:rsidRDefault="00455C06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455C06" w:rsidRDefault="00455C06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455C06" w:rsidRDefault="00455C06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455C06" w:rsidRDefault="00D55961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Srpen</w:t>
      </w:r>
      <w:r w:rsidR="00455C06">
        <w:rPr>
          <w:rFonts w:ascii="Arial" w:hAnsi="Arial"/>
          <w:sz w:val="14"/>
        </w:rPr>
        <w:t xml:space="preserve">  201</w:t>
      </w:r>
      <w:r w:rsidR="00FA7980">
        <w:rPr>
          <w:rFonts w:ascii="Arial" w:hAnsi="Arial"/>
          <w:sz w:val="14"/>
        </w:rPr>
        <w:t>8</w:t>
      </w:r>
      <w:r w:rsidR="00455C06">
        <w:rPr>
          <w:rFonts w:ascii="Arial" w:hAnsi="Arial"/>
          <w:sz w:val="14"/>
        </w:rPr>
        <w:t xml:space="preserve"> – verze č. 0</w:t>
      </w:r>
      <w:r w:rsidR="00FA7980">
        <w:rPr>
          <w:rFonts w:ascii="Arial" w:hAnsi="Arial"/>
          <w:sz w:val="14"/>
        </w:rPr>
        <w:t>6</w:t>
      </w:r>
    </w:p>
    <w:p w:rsidR="00455C06" w:rsidRDefault="00455C06">
      <w:pPr>
        <w:jc w:val="both"/>
        <w:rPr>
          <w:rFonts w:ascii="Arial" w:hAnsi="Arial"/>
          <w:sz w:val="14"/>
        </w:rPr>
      </w:pPr>
    </w:p>
    <w:sectPr w:rsidR="00455C06" w:rsidSect="003934EB">
      <w:footerReference w:type="even" r:id="rId8"/>
      <w:footerReference w:type="default" r:id="rId9"/>
      <w:pgSz w:w="8505" w:h="11907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148" w:rsidRDefault="006D3148">
      <w:r>
        <w:separator/>
      </w:r>
    </w:p>
  </w:endnote>
  <w:endnote w:type="continuationSeparator" w:id="0">
    <w:p w:rsidR="006D3148" w:rsidRDefault="006D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C06" w:rsidRDefault="003C15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55C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5C06">
      <w:rPr>
        <w:rStyle w:val="slostrnky"/>
        <w:noProof/>
      </w:rPr>
      <w:t>1</w:t>
    </w:r>
    <w:r>
      <w:rPr>
        <w:rStyle w:val="slostrnky"/>
      </w:rPr>
      <w:fldChar w:fldCharType="end"/>
    </w:r>
  </w:p>
  <w:p w:rsidR="00455C06" w:rsidRDefault="00455C0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C06" w:rsidRDefault="00455C06">
    <w:pPr>
      <w:pStyle w:val="Zpat"/>
      <w:framePr w:wrap="around" w:vAnchor="text" w:hAnchor="margin" w:xAlign="right" w:y="1"/>
      <w:rPr>
        <w:rStyle w:val="slostrnky"/>
      </w:rPr>
    </w:pPr>
  </w:p>
  <w:p w:rsidR="00455C06" w:rsidRDefault="003C15DE">
    <w:pPr>
      <w:pStyle w:val="Zpat"/>
      <w:ind w:right="360"/>
      <w:jc w:val="center"/>
      <w:rPr>
        <w:sz w:val="14"/>
      </w:rPr>
    </w:pPr>
    <w:r>
      <w:rPr>
        <w:rStyle w:val="slostrnky"/>
        <w:sz w:val="14"/>
      </w:rPr>
      <w:fldChar w:fldCharType="begin"/>
    </w:r>
    <w:r w:rsidR="00455C06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34148F">
      <w:rPr>
        <w:rStyle w:val="slostrnky"/>
        <w:noProof/>
        <w:sz w:val="14"/>
      </w:rPr>
      <w:t>1</w:t>
    </w:r>
    <w:r>
      <w:rPr>
        <w:rStyle w:val="slostrnky"/>
        <w:sz w:val="14"/>
      </w:rPr>
      <w:fldChar w:fldCharType="end"/>
    </w:r>
    <w:r w:rsidR="00455C06"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 w:rsidR="00455C06"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34148F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148" w:rsidRDefault="006D3148">
      <w:r>
        <w:separator/>
      </w:r>
    </w:p>
  </w:footnote>
  <w:footnote w:type="continuationSeparator" w:id="0">
    <w:p w:rsidR="006D3148" w:rsidRDefault="006D3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84C6F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45C9"/>
    <w:multiLevelType w:val="multilevel"/>
    <w:tmpl w:val="E7DA4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76D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0C1B03"/>
    <w:multiLevelType w:val="multilevel"/>
    <w:tmpl w:val="022A7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86654"/>
    <w:multiLevelType w:val="singleLevel"/>
    <w:tmpl w:val="362202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3A95B1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3"/>
  </w:num>
  <w:num w:numId="14">
    <w:abstractNumId w:val="4"/>
  </w:num>
  <w:num w:numId="15">
    <w:abstractNumId w:val="7"/>
  </w:num>
  <w:num w:numId="16">
    <w:abstractNumId w:val="5"/>
  </w:num>
  <w:num w:numId="17">
    <w:abstractNumId w:val="10"/>
  </w:num>
  <w:num w:numId="18">
    <w:abstractNumId w:val="11"/>
  </w:num>
  <w:num w:numId="19">
    <w:abstractNumId w:val="9"/>
  </w:num>
  <w:num w:numId="20">
    <w:abstractNumId w:val="8"/>
  </w:num>
  <w:num w:numId="21">
    <w:abstractNumId w:val="1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F6C"/>
    <w:rsid w:val="00002903"/>
    <w:rsid w:val="00010216"/>
    <w:rsid w:val="00017656"/>
    <w:rsid w:val="00146D1F"/>
    <w:rsid w:val="002133C6"/>
    <w:rsid w:val="00226599"/>
    <w:rsid w:val="002661CB"/>
    <w:rsid w:val="002C49ED"/>
    <w:rsid w:val="00321728"/>
    <w:rsid w:val="0034148F"/>
    <w:rsid w:val="0036027E"/>
    <w:rsid w:val="003934EB"/>
    <w:rsid w:val="003B7F16"/>
    <w:rsid w:val="003C15DE"/>
    <w:rsid w:val="00455C06"/>
    <w:rsid w:val="004B5A0C"/>
    <w:rsid w:val="004B7DF7"/>
    <w:rsid w:val="004E2EFF"/>
    <w:rsid w:val="006D3148"/>
    <w:rsid w:val="00731F22"/>
    <w:rsid w:val="0079727D"/>
    <w:rsid w:val="00797E59"/>
    <w:rsid w:val="00805F20"/>
    <w:rsid w:val="008276DD"/>
    <w:rsid w:val="0085369B"/>
    <w:rsid w:val="008747B4"/>
    <w:rsid w:val="008901F4"/>
    <w:rsid w:val="0098635D"/>
    <w:rsid w:val="009E71FA"/>
    <w:rsid w:val="009F5207"/>
    <w:rsid w:val="00A04E31"/>
    <w:rsid w:val="00A248C5"/>
    <w:rsid w:val="00AC347E"/>
    <w:rsid w:val="00B567B6"/>
    <w:rsid w:val="00B66151"/>
    <w:rsid w:val="00BC0BD9"/>
    <w:rsid w:val="00C27B51"/>
    <w:rsid w:val="00CC44D5"/>
    <w:rsid w:val="00CC47EC"/>
    <w:rsid w:val="00D539FE"/>
    <w:rsid w:val="00D55961"/>
    <w:rsid w:val="00E27476"/>
    <w:rsid w:val="00E86311"/>
    <w:rsid w:val="00EC3A37"/>
    <w:rsid w:val="00ED1751"/>
    <w:rsid w:val="00EE6553"/>
    <w:rsid w:val="00F35476"/>
    <w:rsid w:val="00F61DE7"/>
    <w:rsid w:val="00F7335C"/>
    <w:rsid w:val="00F92C6C"/>
    <w:rsid w:val="00FA3F6C"/>
    <w:rsid w:val="00FA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7B2D1F-6D81-467E-93C1-F91B4F30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20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F5207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2">
    <w:name w:val="heading 2"/>
    <w:basedOn w:val="Normln"/>
    <w:next w:val="Normln"/>
    <w:link w:val="Nadpis2Char"/>
    <w:uiPriority w:val="99"/>
    <w:qFormat/>
    <w:rsid w:val="009F5207"/>
    <w:pPr>
      <w:keepNext/>
      <w:jc w:val="both"/>
      <w:outlineLvl w:val="1"/>
    </w:pPr>
    <w:rPr>
      <w:b/>
      <w:caps/>
      <w:sz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F5207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paragraph" w:styleId="Nadpis7">
    <w:name w:val="heading 7"/>
    <w:basedOn w:val="Normln"/>
    <w:next w:val="Normln"/>
    <w:link w:val="Nadpis7Char"/>
    <w:uiPriority w:val="99"/>
    <w:qFormat/>
    <w:rsid w:val="009F5207"/>
    <w:pPr>
      <w:keepNext/>
      <w:outlineLvl w:val="6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B7F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B7F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B7F16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B7F16"/>
    <w:rPr>
      <w:rFonts w:ascii="Calibri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F5207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B7F16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9F5207"/>
    <w:pPr>
      <w:numPr>
        <w:numId w:val="2"/>
      </w:numPr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9F5207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B7F16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9F5207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3B7F16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9F5207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B7F1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9F5207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B7F16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9F5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B7F16"/>
    <w:rPr>
      <w:rFonts w:cs="Times New Roman"/>
    </w:rPr>
  </w:style>
  <w:style w:type="character" w:styleId="slostrnky">
    <w:name w:val="page number"/>
    <w:basedOn w:val="Standardnpsmoodstavce"/>
    <w:uiPriority w:val="99"/>
    <w:rsid w:val="009F5207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9F5207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B7F16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9F5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B7F16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9F5207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B7F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898</Words>
  <Characters>5299</Characters>
  <Application>Microsoft Office Word</Application>
  <DocSecurity>0</DocSecurity>
  <Lines>44</Lines>
  <Paragraphs>12</Paragraphs>
  <ScaleCrop>false</ScaleCrop>
  <Company>FN Olomouc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</dc:creator>
  <cp:lastModifiedBy>Hrabálek Petr, Ing.</cp:lastModifiedBy>
  <cp:revision>5</cp:revision>
  <cp:lastPrinted>2018-08-16T06:58:00Z</cp:lastPrinted>
  <dcterms:created xsi:type="dcterms:W3CDTF">2018-07-23T09:55:00Z</dcterms:created>
  <dcterms:modified xsi:type="dcterms:W3CDTF">2020-04-16T09:25:00Z</dcterms:modified>
</cp:coreProperties>
</file>