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0C" w:rsidRDefault="005713EA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4B51CA" wp14:editId="228DA28D">
            <wp:simplePos x="0" y="0"/>
            <wp:positionH relativeFrom="column">
              <wp:posOffset>0</wp:posOffset>
            </wp:positionH>
            <wp:positionV relativeFrom="paragraph">
              <wp:posOffset>-400050</wp:posOffset>
            </wp:positionV>
            <wp:extent cx="1835150" cy="469900"/>
            <wp:effectExtent l="19050" t="0" r="0" b="0"/>
            <wp:wrapSquare wrapText="bothSides"/>
            <wp:docPr id="1" name="obrázek 2" descr="O:\- O R G A N I Z A Č N Í   N O R M Y\PODKLADY PRO ON - logo\FNOL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:\- O R G A N I Z A Č N Í   N O R M Y\PODKLADY PRO ON - logo\FNOL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50C" w:rsidRDefault="0086250C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86250C" w:rsidRDefault="0086250C">
      <w:pPr>
        <w:jc w:val="both"/>
        <w:rPr>
          <w:b/>
          <w:sz w:val="16"/>
        </w:rPr>
      </w:pPr>
    </w:p>
    <w:p w:rsidR="00EA598F" w:rsidRDefault="0086250C">
      <w:pPr>
        <w:pStyle w:val="Zkladntext"/>
        <w:jc w:val="both"/>
        <w:rPr>
          <w:spacing w:val="8"/>
          <w:sz w:val="16"/>
          <w:u w:val="single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</w:t>
      </w:r>
      <w:proofErr w:type="gramStart"/>
      <w:r>
        <w:rPr>
          <w:rFonts w:ascii="Arial Narrow" w:hAnsi="Arial Narrow"/>
          <w:spacing w:val="8"/>
          <w:sz w:val="16"/>
        </w:rPr>
        <w:t xml:space="preserve">postupů </w:t>
      </w:r>
      <w:r w:rsidR="00EA598F">
        <w:rPr>
          <w:rFonts w:ascii="Arial Narrow" w:hAnsi="Arial Narrow"/>
          <w:spacing w:val="8"/>
          <w:sz w:val="16"/>
        </w:rPr>
        <w:t xml:space="preserve">        </w:t>
      </w:r>
      <w:r>
        <w:rPr>
          <w:rFonts w:ascii="Arial Narrow" w:hAnsi="Arial Narrow"/>
          <w:spacing w:val="8"/>
          <w:sz w:val="16"/>
        </w:rPr>
        <w:t>pro</w:t>
      </w:r>
      <w:proofErr w:type="gramEnd"/>
      <w:r>
        <w:rPr>
          <w:rFonts w:ascii="Arial Narrow" w:hAnsi="Arial Narrow"/>
          <w:spacing w:val="8"/>
          <w:sz w:val="16"/>
        </w:rPr>
        <w:t xml:space="preserve"> výrobu, kontrolu a zabezpečování jakosti. K jeho zneho</w:t>
      </w:r>
      <w:bookmarkStart w:id="0" w:name="_GoBack"/>
      <w:bookmarkEnd w:id="0"/>
      <w:r>
        <w:rPr>
          <w:rFonts w:ascii="Arial Narrow" w:hAnsi="Arial Narrow"/>
          <w:spacing w:val="8"/>
          <w:sz w:val="16"/>
        </w:rPr>
        <w:t xml:space="preserve">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</w:t>
      </w:r>
      <w:r w:rsidR="00EA598F">
        <w:rPr>
          <w:rFonts w:ascii="Arial Narrow" w:hAnsi="Arial Narrow"/>
          <w:spacing w:val="8"/>
          <w:sz w:val="16"/>
          <w:u w:val="single"/>
        </w:rPr>
        <w:t> </w:t>
      </w:r>
      <w:r>
        <w:rPr>
          <w:rFonts w:ascii="Arial Narrow" w:hAnsi="Arial Narrow"/>
          <w:spacing w:val="8"/>
          <w:sz w:val="16"/>
          <w:u w:val="single"/>
        </w:rPr>
        <w:t>238</w:t>
      </w:r>
      <w:r>
        <w:rPr>
          <w:spacing w:val="8"/>
          <w:sz w:val="16"/>
          <w:u w:val="single"/>
        </w:rPr>
        <w:t>.</w:t>
      </w:r>
    </w:p>
    <w:p w:rsidR="0086250C" w:rsidRDefault="0086250C">
      <w:pPr>
        <w:pStyle w:val="Zkladntext"/>
        <w:jc w:val="both"/>
      </w:pPr>
      <w:r>
        <w:t xml:space="preserve">                     </w:t>
      </w:r>
    </w:p>
    <w:p w:rsidR="0086250C" w:rsidRDefault="0086250C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    </w:t>
      </w:r>
      <w:r>
        <w:rPr>
          <w:color w:val="auto"/>
          <w:sz w:val="18"/>
        </w:rPr>
        <w:t xml:space="preserve">TROMBOcyty Z AFERÉZY DELEUKOTIZOVANÉ  </w:t>
      </w:r>
    </w:p>
    <w:p w:rsidR="0086250C" w:rsidRDefault="0086250C">
      <w:pPr>
        <w:pStyle w:val="Nadpis6"/>
        <w:tabs>
          <w:tab w:val="left" w:pos="851"/>
        </w:tabs>
        <w:jc w:val="both"/>
        <w:rPr>
          <w:color w:val="auto"/>
          <w:sz w:val="16"/>
        </w:rPr>
      </w:pPr>
      <w:r>
        <w:rPr>
          <w:color w:val="auto"/>
          <w:sz w:val="18"/>
        </w:rPr>
        <w:t xml:space="preserve">                 V NÁHRADNÍM ROZTOKU</w:t>
      </w:r>
    </w:p>
    <w:p w:rsidR="0086250C" w:rsidRDefault="0086250C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TADR</w:t>
      </w:r>
    </w:p>
    <w:p w:rsidR="0086250C" w:rsidRPr="00EA598F" w:rsidRDefault="0086250C">
      <w:pPr>
        <w:jc w:val="both"/>
        <w:rPr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P. Pavlova 185/6, 779 00 Olomouc – C 2059.</w:t>
      </w:r>
    </w:p>
    <w:p w:rsidR="0086250C" w:rsidRDefault="0086250C">
      <w:pPr>
        <w:jc w:val="both"/>
        <w:rPr>
          <w:caps/>
          <w:sz w:val="14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86250C" w:rsidRDefault="0086250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trombocyty v terapeutické účinné </w:t>
      </w:r>
      <w:proofErr w:type="gramStart"/>
      <w:r>
        <w:rPr>
          <w:rFonts w:ascii="Arial" w:hAnsi="Arial"/>
          <w:sz w:val="14"/>
        </w:rPr>
        <w:t>formě  více</w:t>
      </w:r>
      <w:proofErr w:type="gramEnd"/>
      <w:r>
        <w:rPr>
          <w:rFonts w:ascii="Arial" w:hAnsi="Arial"/>
          <w:sz w:val="14"/>
        </w:rPr>
        <w:t xml:space="preserve"> než 200 x 10</w:t>
      </w:r>
      <w:r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>/T.U.,</w:t>
      </w:r>
    </w:p>
    <w:p w:rsidR="0086250C" w:rsidRPr="00A44693" w:rsidRDefault="0086250C" w:rsidP="00553E5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resuspendované</w:t>
      </w:r>
      <w:proofErr w:type="spellEnd"/>
      <w:r>
        <w:rPr>
          <w:rFonts w:ascii="Arial" w:hAnsi="Arial"/>
          <w:sz w:val="14"/>
        </w:rPr>
        <w:t xml:space="preserve"> v plazmě a ve výživném roztoku SSP</w:t>
      </w:r>
      <w:r w:rsidRPr="00553E58">
        <w:rPr>
          <w:rFonts w:ascii="Arial" w:hAnsi="Arial"/>
          <w:sz w:val="14"/>
        </w:rPr>
        <w:t>+</w:t>
      </w:r>
      <w:r>
        <w:rPr>
          <w:rFonts w:ascii="Arial" w:hAnsi="Arial"/>
          <w:sz w:val="14"/>
        </w:rPr>
        <w:t xml:space="preserve"> </w:t>
      </w:r>
      <w:r w:rsidRPr="00553E58">
        <w:rPr>
          <w:rFonts w:ascii="Arial" w:hAnsi="Arial"/>
          <w:sz w:val="14"/>
        </w:rPr>
        <w:t>(</w:t>
      </w:r>
      <w:r w:rsidRPr="00553E58">
        <w:rPr>
          <w:rFonts w:ascii="Arial" w:hAnsi="Arial" w:cs="Arial"/>
          <w:sz w:val="14"/>
          <w:szCs w:val="16"/>
        </w:rPr>
        <w:t>Na</w:t>
      </w:r>
      <w:r w:rsidRPr="00553E58">
        <w:rPr>
          <w:rFonts w:ascii="Arial" w:hAnsi="Arial" w:cs="Arial"/>
          <w:sz w:val="14"/>
          <w:szCs w:val="16"/>
          <w:vertAlign w:val="subscript"/>
        </w:rPr>
        <w:t>3</w:t>
      </w:r>
      <w:r w:rsidRPr="00553E58">
        <w:rPr>
          <w:rFonts w:ascii="Arial" w:hAnsi="Arial" w:cs="Arial"/>
          <w:sz w:val="14"/>
          <w:szCs w:val="16"/>
        </w:rPr>
        <w:t>-citrat 2H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 </w:t>
      </w:r>
      <w:smartTag w:uri="urn:schemas-microsoft-com:office:smarttags" w:element="metricconverter">
        <w:smartTagPr>
          <w:attr w:name="ProductID" w:val="3,18 g"/>
        </w:smartTagPr>
        <w:smartTag w:uri="urn:schemas-microsoft-com:office:smarttags" w:element="metricconverter">
          <w:smartTagPr>
            <w:attr w:name="ProductID" w:val="3,18 g"/>
          </w:smartTagPr>
          <w:r w:rsidRPr="00553E58">
            <w:rPr>
              <w:rFonts w:ascii="Arial" w:hAnsi="Arial" w:cs="Arial"/>
              <w:sz w:val="14"/>
              <w:szCs w:val="16"/>
            </w:rPr>
            <w:t>3,18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r w:rsidRPr="00553E58">
        <w:rPr>
          <w:rFonts w:ascii="Arial" w:hAnsi="Arial" w:cs="Arial"/>
          <w:sz w:val="14"/>
          <w:szCs w:val="16"/>
        </w:rPr>
        <w:t>Na-</w:t>
      </w:r>
      <w:proofErr w:type="spellStart"/>
      <w:r w:rsidRPr="00553E58">
        <w:rPr>
          <w:rFonts w:ascii="Arial" w:hAnsi="Arial" w:cs="Arial"/>
          <w:sz w:val="14"/>
          <w:szCs w:val="16"/>
        </w:rPr>
        <w:t>acetat</w:t>
      </w:r>
      <w:proofErr w:type="spellEnd"/>
      <w:r w:rsidRPr="00553E58">
        <w:rPr>
          <w:rFonts w:ascii="Arial" w:hAnsi="Arial" w:cs="Arial"/>
          <w:sz w:val="14"/>
          <w:szCs w:val="16"/>
        </w:rPr>
        <w:t xml:space="preserve"> 3H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</w:t>
      </w:r>
    </w:p>
    <w:p w:rsidR="0086250C" w:rsidRPr="00553E58" w:rsidRDefault="0086250C" w:rsidP="00A44693">
      <w:pPr>
        <w:ind w:left="426" w:hanging="426"/>
        <w:jc w:val="both"/>
        <w:rPr>
          <w:rFonts w:ascii="Arial" w:hAnsi="Arial"/>
          <w:sz w:val="14"/>
        </w:rPr>
      </w:pPr>
      <w:r>
        <w:rPr>
          <w:rFonts w:ascii="Arial" w:hAnsi="Arial" w:cs="Arial"/>
          <w:sz w:val="14"/>
          <w:szCs w:val="16"/>
        </w:rPr>
        <w:t xml:space="preserve">          </w:t>
      </w:r>
      <w:smartTag w:uri="urn:schemas-microsoft-com:office:smarttags" w:element="metricconverter">
        <w:smartTagPr>
          <w:attr w:name="ProductID" w:val="4,42 g"/>
        </w:smartTagPr>
        <w:r w:rsidRPr="00553E58">
          <w:rPr>
            <w:rFonts w:ascii="Arial" w:hAnsi="Arial" w:cs="Arial"/>
            <w:sz w:val="14"/>
            <w:szCs w:val="16"/>
          </w:rPr>
          <w:t>4,42 g</w:t>
        </w:r>
      </w:smartTag>
      <w:r w:rsidRPr="00553E58">
        <w:rPr>
          <w:rFonts w:ascii="Arial" w:hAnsi="Arial" w:cs="Arial"/>
          <w:sz w:val="14"/>
          <w:szCs w:val="16"/>
        </w:rPr>
        <w:t>, NaH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>PO</w:t>
      </w:r>
      <w:r w:rsidRPr="00553E58">
        <w:rPr>
          <w:rFonts w:ascii="Arial" w:hAnsi="Arial" w:cs="Arial"/>
          <w:sz w:val="14"/>
          <w:szCs w:val="16"/>
          <w:vertAlign w:val="subscript"/>
        </w:rPr>
        <w:t xml:space="preserve">4 </w:t>
      </w:r>
      <w:r w:rsidRPr="00553E58">
        <w:rPr>
          <w:rFonts w:ascii="Arial" w:hAnsi="Arial" w:cs="Arial"/>
          <w:sz w:val="14"/>
          <w:szCs w:val="16"/>
        </w:rPr>
        <w:t>2H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1,05 g"/>
        </w:smartTagPr>
        <w:smartTag w:uri="urn:schemas-microsoft-com:office:smarttags" w:element="metricconverter">
          <w:smartTagPr>
            <w:attr w:name="ProductID" w:val="1,05 g"/>
          </w:smartTagPr>
          <w:r w:rsidRPr="00553E58">
            <w:rPr>
              <w:rFonts w:ascii="Arial" w:hAnsi="Arial" w:cs="Arial"/>
              <w:sz w:val="14"/>
              <w:szCs w:val="16"/>
            </w:rPr>
            <w:t>1,05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r w:rsidRPr="00553E58">
        <w:rPr>
          <w:rFonts w:ascii="Arial" w:hAnsi="Arial" w:cs="Arial"/>
          <w:sz w:val="14"/>
          <w:szCs w:val="16"/>
        </w:rPr>
        <w:t>NaH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>PO</w:t>
      </w:r>
      <w:r w:rsidRPr="00553E58">
        <w:rPr>
          <w:rFonts w:ascii="Arial" w:hAnsi="Arial" w:cs="Arial"/>
          <w:sz w:val="14"/>
          <w:szCs w:val="16"/>
          <w:vertAlign w:val="subscript"/>
        </w:rPr>
        <w:t xml:space="preserve">4  </w:t>
      </w:r>
      <w:smartTag w:uri="urn:schemas-microsoft-com:office:smarttags" w:element="metricconverter">
        <w:smartTagPr>
          <w:attr w:name="ProductID" w:val="3,05 g"/>
        </w:smartTagPr>
        <w:smartTag w:uri="urn:schemas-microsoft-com:office:smarttags" w:element="metricconverter">
          <w:smartTagPr>
            <w:attr w:name="ProductID" w:val="3,05 g"/>
          </w:smartTagPr>
          <w:r w:rsidRPr="00553E58">
            <w:rPr>
              <w:rFonts w:ascii="Arial" w:hAnsi="Arial" w:cs="Arial"/>
              <w:sz w:val="14"/>
              <w:szCs w:val="16"/>
            </w:rPr>
            <w:t>3,05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proofErr w:type="spellStart"/>
      <w:r w:rsidRPr="00553E58">
        <w:rPr>
          <w:rFonts w:ascii="Arial" w:hAnsi="Arial" w:cs="Arial"/>
          <w:sz w:val="14"/>
          <w:szCs w:val="16"/>
        </w:rPr>
        <w:t>KCl</w:t>
      </w:r>
      <w:proofErr w:type="spellEnd"/>
      <w:r w:rsidRPr="00553E58"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0,37 g"/>
        </w:smartTagPr>
        <w:smartTag w:uri="urn:schemas-microsoft-com:office:smarttags" w:element="metricconverter">
          <w:smartTagPr>
            <w:attr w:name="ProductID" w:val="0,37 g"/>
          </w:smartTagPr>
          <w:r w:rsidRPr="00553E58">
            <w:rPr>
              <w:rFonts w:ascii="Arial" w:hAnsi="Arial" w:cs="Arial"/>
              <w:sz w:val="14"/>
              <w:szCs w:val="16"/>
            </w:rPr>
            <w:t>0,37 g</w:t>
          </w:r>
        </w:smartTag>
        <w:r w:rsidRPr="00553E58">
          <w:rPr>
            <w:rFonts w:ascii="Arial" w:hAnsi="Arial" w:cs="Arial"/>
            <w:sz w:val="14"/>
            <w:szCs w:val="16"/>
          </w:rPr>
          <w:t>,</w:t>
        </w:r>
      </w:smartTag>
      <w:r w:rsidRPr="00553E58">
        <w:rPr>
          <w:rFonts w:ascii="Arial" w:hAnsi="Arial" w:cs="Arial"/>
          <w:sz w:val="14"/>
          <w:szCs w:val="16"/>
        </w:rPr>
        <w:t>MgCl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 6H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0,30 g"/>
        </w:smartTagPr>
        <w:smartTag w:uri="urn:schemas-microsoft-com:office:smarttags" w:element="metricconverter">
          <w:smartTagPr>
            <w:attr w:name="ProductID" w:val="0,30 g"/>
          </w:smartTagPr>
          <w:r w:rsidRPr="00553E58">
            <w:rPr>
              <w:rFonts w:ascii="Arial" w:hAnsi="Arial" w:cs="Arial"/>
              <w:sz w:val="14"/>
              <w:szCs w:val="16"/>
            </w:rPr>
            <w:t>0,30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proofErr w:type="spellStart"/>
      <w:r w:rsidRPr="00553E58">
        <w:rPr>
          <w:rFonts w:ascii="Arial" w:hAnsi="Arial" w:cs="Arial"/>
          <w:sz w:val="14"/>
          <w:szCs w:val="16"/>
        </w:rPr>
        <w:t>NaCl</w:t>
      </w:r>
      <w:proofErr w:type="spellEnd"/>
      <w:r w:rsidRPr="00553E58"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4,05 g"/>
        </w:smartTagPr>
        <w:r w:rsidRPr="00553E58">
          <w:rPr>
            <w:rFonts w:ascii="Arial" w:hAnsi="Arial" w:cs="Arial"/>
            <w:sz w:val="14"/>
            <w:szCs w:val="16"/>
          </w:rPr>
          <w:t>4,05 g</w:t>
        </w:r>
      </w:smartTag>
      <w:r w:rsidRPr="00553E58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553E58">
        <w:rPr>
          <w:rFonts w:ascii="Arial" w:hAnsi="Arial" w:cs="Arial"/>
          <w:sz w:val="14"/>
          <w:szCs w:val="16"/>
        </w:rPr>
        <w:t>Aqua</w:t>
      </w:r>
      <w:proofErr w:type="spellEnd"/>
      <w:r w:rsidRPr="00553E58">
        <w:rPr>
          <w:rFonts w:ascii="Arial" w:hAnsi="Arial" w:cs="Arial"/>
          <w:sz w:val="14"/>
          <w:szCs w:val="16"/>
        </w:rPr>
        <w:t xml:space="preserve"> pro </w:t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553E58">
        <w:rPr>
          <w:rFonts w:ascii="Arial" w:hAnsi="Arial" w:cs="Arial"/>
          <w:sz w:val="14"/>
          <w:szCs w:val="16"/>
        </w:rPr>
        <w:t>injectione</w:t>
      </w:r>
      <w:proofErr w:type="spellEnd"/>
      <w:r w:rsidRPr="00553E58">
        <w:rPr>
          <w:rFonts w:ascii="Arial" w:hAnsi="Arial" w:cs="Arial"/>
          <w:sz w:val="14"/>
          <w:szCs w:val="16"/>
        </w:rPr>
        <w:t xml:space="preserve"> do 1.000 ml, pH 7,2</w:t>
      </w:r>
      <w:r>
        <w:rPr>
          <w:rFonts w:ascii="Arial" w:hAnsi="Arial" w:cs="Arial"/>
          <w:sz w:val="14"/>
          <w:szCs w:val="16"/>
        </w:rPr>
        <w:t>),</w:t>
      </w:r>
      <w:r w:rsidRPr="00553E58">
        <w:rPr>
          <w:rFonts w:ascii="Arial" w:hAnsi="Arial"/>
          <w:sz w:val="14"/>
        </w:rPr>
        <w:t xml:space="preserve">  </w:t>
      </w:r>
    </w:p>
    <w:p w:rsidR="0086250C" w:rsidRPr="00553E58" w:rsidRDefault="0086250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 w:rsidRPr="00553E58">
        <w:rPr>
          <w:rFonts w:ascii="Arial" w:hAnsi="Arial"/>
          <w:sz w:val="14"/>
        </w:rPr>
        <w:t>antikoagulační roztok ACD-A</w:t>
      </w:r>
      <w:r>
        <w:rPr>
          <w:rFonts w:ascii="Arial" w:hAnsi="Arial"/>
          <w:sz w:val="14"/>
        </w:rPr>
        <w:t>,</w:t>
      </w:r>
      <w:r w:rsidRPr="00553E58">
        <w:rPr>
          <w:rFonts w:ascii="Arial" w:hAnsi="Arial"/>
          <w:sz w:val="14"/>
        </w:rPr>
        <w:t xml:space="preserve"> </w:t>
      </w:r>
    </w:p>
    <w:p w:rsidR="0086250C" w:rsidRDefault="0086250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reziduální leukocyty: méně než 1,0 x 10</w:t>
      </w:r>
      <w:r>
        <w:rPr>
          <w:rFonts w:ascii="Arial" w:hAnsi="Arial"/>
          <w:sz w:val="14"/>
          <w:vertAlign w:val="superscript"/>
        </w:rPr>
        <w:t>6</w:t>
      </w:r>
      <w:r>
        <w:rPr>
          <w:rFonts w:ascii="Arial" w:hAnsi="Arial"/>
          <w:sz w:val="14"/>
        </w:rPr>
        <w:t>/T.U.,</w:t>
      </w:r>
    </w:p>
    <w:p w:rsidR="0086250C" w:rsidRDefault="0086250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koncentrát obsahuje 30 % - 40 % plazmy a 60 % - 70 % roztoku SSP+,</w:t>
      </w:r>
    </w:p>
    <w:p w:rsidR="0086250C" w:rsidRDefault="0086250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pH na konci doby použitelnosti 6,4 – 7,4.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</w:p>
    <w:p w:rsidR="0086250C" w:rsidRDefault="0086250C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86250C" w:rsidRDefault="0086250C">
      <w:pPr>
        <w:jc w:val="both"/>
        <w:rPr>
          <w:rFonts w:ascii="Arial" w:hAnsi="Arial"/>
          <w:sz w:val="14"/>
        </w:rPr>
      </w:pPr>
    </w:p>
    <w:p w:rsidR="0086250C" w:rsidRPr="00981095" w:rsidRDefault="0086250C">
      <w:pPr>
        <w:jc w:val="both"/>
        <w:rPr>
          <w:rFonts w:ascii="Arial" w:hAnsi="Arial"/>
          <w:sz w:val="14"/>
        </w:rPr>
      </w:pPr>
      <w:r w:rsidRPr="00981095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0107959</w:t>
      </w:r>
    </w:p>
    <w:p w:rsidR="0086250C" w:rsidRDefault="0086250C">
      <w:pPr>
        <w:pStyle w:val="Nadpis1"/>
        <w:rPr>
          <w:snapToGrid w:val="0"/>
        </w:rPr>
      </w:pPr>
    </w:p>
    <w:p w:rsidR="0086250C" w:rsidRDefault="0086250C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86250C" w:rsidRDefault="0086250C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TADR je koncentrát trombocytů, získaný od jednoho dárce </w:t>
      </w:r>
      <w:proofErr w:type="spellStart"/>
      <w:r>
        <w:rPr>
          <w:rFonts w:ascii="Arial" w:hAnsi="Arial"/>
          <w:sz w:val="14"/>
        </w:rPr>
        <w:t>trombocytaferézou</w:t>
      </w:r>
      <w:proofErr w:type="spellEnd"/>
      <w:r>
        <w:rPr>
          <w:rFonts w:ascii="Arial" w:hAnsi="Arial"/>
          <w:sz w:val="14"/>
        </w:rPr>
        <w:t xml:space="preserve"> (= odběr pomocí automatických přístrojů pro separaci krevních buněk od vybraných dárců). Trombocyty jsou následně </w:t>
      </w:r>
      <w:proofErr w:type="spellStart"/>
      <w:r>
        <w:rPr>
          <w:rFonts w:ascii="Arial" w:hAnsi="Arial"/>
          <w:sz w:val="14"/>
        </w:rPr>
        <w:t>resuspendovány</w:t>
      </w:r>
      <w:proofErr w:type="spellEnd"/>
      <w:r>
        <w:rPr>
          <w:rFonts w:ascii="Arial" w:hAnsi="Arial"/>
          <w:sz w:val="14"/>
        </w:rPr>
        <w:t xml:space="preserve"> do výživného roztoku, v konečném produktu je ponecháno 30 % - 40 % plazmy, zbytek objemu tvoří výživný roztok SSP+. Při výrobě </w:t>
      </w:r>
      <w:proofErr w:type="gramStart"/>
      <w:r>
        <w:rPr>
          <w:rFonts w:ascii="Arial" w:hAnsi="Arial"/>
          <w:sz w:val="14"/>
        </w:rPr>
        <w:t>dochází  k odstranění</w:t>
      </w:r>
      <w:proofErr w:type="gramEnd"/>
      <w:r>
        <w:rPr>
          <w:rFonts w:ascii="Arial" w:hAnsi="Arial"/>
          <w:sz w:val="14"/>
        </w:rPr>
        <w:t xml:space="preserve"> většiny leukocytů, a to buď in line filtrací při odběru nebo dodatečnou filtrací již skladovaných trombocytů z </w:t>
      </w:r>
      <w:proofErr w:type="spellStart"/>
      <w:r>
        <w:rPr>
          <w:rFonts w:ascii="Arial" w:hAnsi="Arial"/>
          <w:sz w:val="14"/>
        </w:rPr>
        <w:t>aferézy</w:t>
      </w:r>
      <w:proofErr w:type="spellEnd"/>
      <w:r>
        <w:rPr>
          <w:rFonts w:ascii="Arial" w:hAnsi="Arial"/>
          <w:sz w:val="14"/>
        </w:rPr>
        <w:t xml:space="preserve"> v čase potřeby. </w:t>
      </w:r>
    </w:p>
    <w:p w:rsidR="0086250C" w:rsidRDefault="0086250C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Při validované </w:t>
      </w:r>
      <w:proofErr w:type="spellStart"/>
      <w:r>
        <w:rPr>
          <w:rFonts w:ascii="Arial" w:hAnsi="Arial"/>
          <w:sz w:val="14"/>
        </w:rPr>
        <w:t>leukodepleci</w:t>
      </w:r>
      <w:proofErr w:type="spellEnd"/>
      <w:r>
        <w:rPr>
          <w:rFonts w:ascii="Arial" w:hAnsi="Arial"/>
          <w:sz w:val="14"/>
        </w:rPr>
        <w:t xml:space="preserve"> jsou filtrované trombocytové koncentráty přijímány jako alternativa CMV negativních trombocytů pro prevenci přenosu CMV.</w:t>
      </w:r>
    </w:p>
    <w:p w:rsidR="0086250C" w:rsidRDefault="0086250C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</w:p>
    <w:p w:rsidR="0086250C" w:rsidRPr="00632236" w:rsidRDefault="0086250C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  <w:r>
        <w:rPr>
          <w:rFonts w:ascii="Arial" w:hAnsi="Arial"/>
          <w:sz w:val="14"/>
        </w:rPr>
        <w:t xml:space="preserve">1 </w:t>
      </w:r>
      <w:proofErr w:type="gramStart"/>
      <w:r>
        <w:rPr>
          <w:rFonts w:ascii="Arial" w:hAnsi="Arial"/>
          <w:sz w:val="14"/>
        </w:rPr>
        <w:t>T.U.: více</w:t>
      </w:r>
      <w:proofErr w:type="gramEnd"/>
      <w:r>
        <w:rPr>
          <w:rFonts w:ascii="Arial" w:hAnsi="Arial"/>
          <w:sz w:val="14"/>
        </w:rPr>
        <w:t xml:space="preserve"> než 40 ml na 60 x 10</w:t>
      </w:r>
      <w:r>
        <w:rPr>
          <w:rFonts w:ascii="Arial" w:hAnsi="Arial"/>
          <w:sz w:val="14"/>
          <w:vertAlign w:val="superscript"/>
        </w:rPr>
        <w:t xml:space="preserve">9  </w:t>
      </w:r>
      <w:r>
        <w:rPr>
          <w:rFonts w:ascii="Arial" w:hAnsi="Arial"/>
          <w:sz w:val="14"/>
        </w:rPr>
        <w:t>trombocytů</w:t>
      </w:r>
    </w:p>
    <w:p w:rsidR="0086250C" w:rsidRDefault="0086250C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86250C" w:rsidRDefault="0086250C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86250C" w:rsidRDefault="0086250C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Těžká trombocytopenie s klinicky významným krvácením, přisuzovaným deficitu trombocytů u pacientů, kde je žádoucí podat koncentrát s redukovaným množstvím plazmy, např. u pacientů s protilátkami proti plazmatickým bílkovinám (obzvláště proti </w:t>
      </w:r>
      <w:proofErr w:type="spellStart"/>
      <w:r>
        <w:rPr>
          <w:rFonts w:ascii="Arial" w:hAnsi="Arial"/>
          <w:color w:val="auto"/>
          <w:sz w:val="14"/>
          <w:lang w:val="cs-CZ"/>
        </w:rPr>
        <w:t>IgA</w:t>
      </w:r>
      <w:proofErr w:type="spellEnd"/>
      <w:r>
        <w:rPr>
          <w:rFonts w:ascii="Arial" w:hAnsi="Arial"/>
          <w:color w:val="auto"/>
          <w:sz w:val="14"/>
          <w:lang w:val="cs-CZ"/>
        </w:rPr>
        <w:t xml:space="preserve">), pacienti s alergickými </w:t>
      </w:r>
      <w:proofErr w:type="spellStart"/>
      <w:r>
        <w:rPr>
          <w:rFonts w:ascii="Arial" w:hAnsi="Arial"/>
          <w:color w:val="auto"/>
          <w:sz w:val="14"/>
          <w:lang w:val="cs-CZ"/>
        </w:rPr>
        <w:t>potransfuzními</w:t>
      </w:r>
      <w:proofErr w:type="spellEnd"/>
      <w:r>
        <w:rPr>
          <w:rFonts w:ascii="Arial" w:hAnsi="Arial"/>
          <w:color w:val="auto"/>
          <w:sz w:val="14"/>
          <w:lang w:val="cs-CZ"/>
        </w:rPr>
        <w:t xml:space="preserve"> reakcemi na plazmu nebo koncentráty trombocytů, pacienti s paroxysmální noční </w:t>
      </w:r>
      <w:proofErr w:type="spellStart"/>
      <w:r>
        <w:rPr>
          <w:rFonts w:ascii="Arial" w:hAnsi="Arial"/>
          <w:color w:val="auto"/>
          <w:sz w:val="14"/>
          <w:lang w:val="cs-CZ"/>
        </w:rPr>
        <w:t>hemoglobinurií</w:t>
      </w:r>
      <w:proofErr w:type="spellEnd"/>
      <w:r>
        <w:rPr>
          <w:rFonts w:ascii="Arial" w:hAnsi="Arial"/>
          <w:color w:val="auto"/>
          <w:sz w:val="14"/>
          <w:lang w:val="cs-CZ"/>
        </w:rPr>
        <w:t xml:space="preserve">. Vzhledem k nízkým titrům aglutininů mohou být koncentráty (zejména krevní skupiny 0) aplikovány jako univerzální. </w:t>
      </w:r>
    </w:p>
    <w:p w:rsidR="0086250C" w:rsidRDefault="0086250C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86250C" w:rsidRDefault="0086250C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86250C" w:rsidRDefault="0086250C">
      <w:pPr>
        <w:pStyle w:val="Zkladntextodsazen2"/>
        <w:tabs>
          <w:tab w:val="clear" w:pos="284"/>
        </w:tabs>
        <w:ind w:left="0"/>
        <w:jc w:val="both"/>
      </w:pPr>
      <w:r>
        <w:t>Jednoznačné kontraindikace nejsou známy. Podání by se mělo zvážit v případech, kdy zástavy krvácení spojené s výraznější trombocytopenií lze dosáhnout jiným způsobem léčby.</w:t>
      </w:r>
    </w:p>
    <w:p w:rsidR="0086250C" w:rsidRDefault="0086250C">
      <w:pPr>
        <w:pStyle w:val="Zkladntextodsazen2"/>
        <w:tabs>
          <w:tab w:val="clear" w:pos="284"/>
        </w:tabs>
        <w:ind w:left="0"/>
        <w:jc w:val="both"/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horečka, kopřivka), ale vzácněji než po transfuzi </w:t>
      </w:r>
      <w:proofErr w:type="spellStart"/>
      <w:r>
        <w:rPr>
          <w:rFonts w:ascii="Arial" w:hAnsi="Arial"/>
          <w:sz w:val="14"/>
        </w:rPr>
        <w:t>nedeleukotizovaného</w:t>
      </w:r>
      <w:proofErr w:type="spellEnd"/>
      <w:r>
        <w:rPr>
          <w:rFonts w:ascii="Arial" w:hAnsi="Arial"/>
          <w:sz w:val="14"/>
        </w:rPr>
        <w:t xml:space="preserve"> trombocytového koncentrátu.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Aloimunizace</w:t>
      </w:r>
      <w:proofErr w:type="spellEnd"/>
      <w:r>
        <w:rPr>
          <w:rFonts w:ascii="Arial" w:hAnsi="Arial"/>
          <w:sz w:val="14"/>
        </w:rPr>
        <w:t xml:space="preserve"> především proti HLA a HPA antigenům. Při použití </w:t>
      </w:r>
      <w:proofErr w:type="spellStart"/>
      <w:r>
        <w:rPr>
          <w:rFonts w:ascii="Arial" w:hAnsi="Arial"/>
          <w:sz w:val="14"/>
        </w:rPr>
        <w:t>deleukotizovaných</w:t>
      </w:r>
      <w:proofErr w:type="spellEnd"/>
      <w:r>
        <w:rPr>
          <w:rFonts w:ascii="Arial" w:hAnsi="Arial"/>
          <w:sz w:val="14"/>
        </w:rPr>
        <w:t xml:space="preserve"> trombocytových koncentrátů je riziko HLA imunizace minimální, pokud jsou ostatní podávané transfuzní přípravky rovněž </w:t>
      </w:r>
      <w:proofErr w:type="spellStart"/>
      <w:r>
        <w:rPr>
          <w:rFonts w:ascii="Arial" w:hAnsi="Arial"/>
          <w:sz w:val="14"/>
        </w:rPr>
        <w:t>deleukotizovány</w:t>
      </w:r>
      <w:proofErr w:type="spellEnd"/>
      <w:r>
        <w:rPr>
          <w:rFonts w:ascii="Arial" w:hAnsi="Arial"/>
          <w:sz w:val="14"/>
        </w:rPr>
        <w:t>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Riziko infekcí přenosných krví (hepatitidy, HIV, syfilis) je možné bez ohledu na pečlivý výběr </w:t>
      </w:r>
      <w:proofErr w:type="gramStart"/>
      <w:r>
        <w:rPr>
          <w:rFonts w:ascii="Arial" w:hAnsi="Arial"/>
          <w:sz w:val="14"/>
        </w:rPr>
        <w:t>dárců          a screeningová</w:t>
      </w:r>
      <w:proofErr w:type="gramEnd"/>
      <w:r>
        <w:rPr>
          <w:rFonts w:ascii="Arial" w:hAnsi="Arial"/>
          <w:sz w:val="14"/>
        </w:rPr>
        <w:t xml:space="preserve"> vyšetření.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>Vzácně přenos protozoí (např. malárie).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purpura.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poškození plic vyvolané transfuzí (TRALI).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Přenos jiných patogenů, které se </w:t>
      </w:r>
      <w:proofErr w:type="spellStart"/>
      <w:r>
        <w:rPr>
          <w:rFonts w:ascii="Arial" w:hAnsi="Arial"/>
          <w:sz w:val="14"/>
        </w:rPr>
        <w:t>screeningově</w:t>
      </w:r>
      <w:proofErr w:type="spellEnd"/>
      <w:r>
        <w:rPr>
          <w:rFonts w:ascii="Arial" w:hAnsi="Arial"/>
          <w:sz w:val="14"/>
        </w:rPr>
        <w:t xml:space="preserve"> netestují nebo nebyly dosud rozpoznány.</w:t>
      </w:r>
    </w:p>
    <w:p w:rsidR="0086250C" w:rsidRDefault="0086250C">
      <w:pPr>
        <w:rPr>
          <w:rFonts w:ascii="Arial" w:hAnsi="Arial"/>
          <w:sz w:val="14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86250C" w:rsidRDefault="0086250C">
      <w:pPr>
        <w:jc w:val="center"/>
        <w:rPr>
          <w:rFonts w:ascii="Arial" w:hAnsi="Arial"/>
          <w:sz w:val="14"/>
        </w:rPr>
      </w:pPr>
    </w:p>
    <w:p w:rsidR="0086250C" w:rsidRDefault="0086250C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Dávkování určuje lékař. Přípravek se podává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Trombocytové koncentráty se podávají AB0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kompatibilní. Jestliže je nutné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negativním </w:t>
      </w:r>
      <w:proofErr w:type="gramStart"/>
      <w:r>
        <w:rPr>
          <w:rFonts w:ascii="Arial" w:hAnsi="Arial"/>
          <w:sz w:val="14"/>
        </w:rPr>
        <w:t>ženám  ve</w:t>
      </w:r>
      <w:proofErr w:type="gramEnd"/>
      <w:r>
        <w:rPr>
          <w:rFonts w:ascii="Arial" w:hAnsi="Arial"/>
          <w:sz w:val="14"/>
        </w:rPr>
        <w:t xml:space="preserve"> fertilním věku nebo mladším pacientům  podat trombocyty od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pozitivních dárců, mělo by se za těchto okolností uvažovat o  prevenci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imunizace podáním specifického imunoglobulinu anti-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. 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Před aplikací je nutno zkontrolovat: dokumentaci, číslo a typ transfuzního přípravku, dobu </w:t>
      </w:r>
      <w:proofErr w:type="gramStart"/>
      <w:r>
        <w:rPr>
          <w:rFonts w:ascii="Arial" w:hAnsi="Arial"/>
          <w:sz w:val="14"/>
        </w:rPr>
        <w:t>použitelnosti          a krevní</w:t>
      </w:r>
      <w:proofErr w:type="gramEnd"/>
      <w:r>
        <w:rPr>
          <w:rFonts w:ascii="Arial" w:hAnsi="Arial"/>
          <w:sz w:val="14"/>
        </w:rPr>
        <w:t xml:space="preserve"> skupinu. Vše musí souhlasit s číslem uvedeným na průvodce testech slučitelnosti.</w:t>
      </w:r>
    </w:p>
    <w:p w:rsidR="0086250C" w:rsidRDefault="0086250C">
      <w:pPr>
        <w:pStyle w:val="Seznamsodrkami"/>
        <w:numPr>
          <w:ilvl w:val="0"/>
          <w:numId w:val="0"/>
        </w:numPr>
      </w:pPr>
    </w:p>
    <w:p w:rsidR="0086250C" w:rsidRDefault="0086250C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86250C" w:rsidRDefault="0086250C" w:rsidP="00712782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proofErr w:type="spellStart"/>
      <w:r>
        <w:rPr>
          <w:rFonts w:ascii="Arial" w:hAnsi="Arial"/>
          <w:color w:val="auto"/>
          <w:sz w:val="14"/>
        </w:rPr>
        <w:t>Před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vydáním</w:t>
      </w:r>
      <w:proofErr w:type="spellEnd"/>
      <w:r>
        <w:rPr>
          <w:rFonts w:ascii="Arial" w:hAnsi="Arial"/>
          <w:color w:val="auto"/>
          <w:sz w:val="14"/>
        </w:rPr>
        <w:t xml:space="preserve"> TADR se </w:t>
      </w:r>
      <w:proofErr w:type="spellStart"/>
      <w:proofErr w:type="gramStart"/>
      <w:r>
        <w:rPr>
          <w:rFonts w:ascii="Arial" w:hAnsi="Arial"/>
          <w:color w:val="auto"/>
          <w:sz w:val="14"/>
        </w:rPr>
        <w:t>provádí</w:t>
      </w:r>
      <w:proofErr w:type="spellEnd"/>
      <w:r>
        <w:rPr>
          <w:rFonts w:ascii="Arial" w:hAnsi="Arial"/>
          <w:color w:val="auto"/>
          <w:sz w:val="14"/>
        </w:rPr>
        <w:t xml:space="preserve">  </w:t>
      </w:r>
      <w:proofErr w:type="spellStart"/>
      <w:r>
        <w:rPr>
          <w:rFonts w:ascii="Arial" w:hAnsi="Arial"/>
          <w:color w:val="auto"/>
          <w:sz w:val="14"/>
        </w:rPr>
        <w:t>kontrola</w:t>
      </w:r>
      <w:proofErr w:type="spellEnd"/>
      <w:proofErr w:type="gram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shody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krevní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skupiny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pacienta</w:t>
      </w:r>
      <w:proofErr w:type="spellEnd"/>
      <w:r>
        <w:rPr>
          <w:rFonts w:ascii="Arial" w:hAnsi="Arial"/>
          <w:color w:val="auto"/>
          <w:sz w:val="14"/>
        </w:rPr>
        <w:t xml:space="preserve"> a </w:t>
      </w:r>
      <w:proofErr w:type="spellStart"/>
      <w:r>
        <w:rPr>
          <w:rFonts w:ascii="Arial" w:hAnsi="Arial"/>
          <w:color w:val="auto"/>
          <w:sz w:val="14"/>
        </w:rPr>
        <w:t>transfuzního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přípravku</w:t>
      </w:r>
      <w:proofErr w:type="spellEnd"/>
      <w:r>
        <w:rPr>
          <w:rFonts w:ascii="Arial" w:hAnsi="Arial"/>
          <w:color w:val="auto"/>
          <w:sz w:val="14"/>
        </w:rPr>
        <w:t>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Hlásit je třeba nežádoucí reakce související s podáním transfuze, vzniklé během transfuze i po ní nebo podezření na ně. </w:t>
      </w:r>
    </w:p>
    <w:p w:rsidR="0086250C" w:rsidRPr="00981095" w:rsidRDefault="0086250C" w:rsidP="00981095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981095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981095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9) z důvodu zajištění </w:t>
      </w:r>
      <w:proofErr w:type="spellStart"/>
      <w:r w:rsidRPr="00981095">
        <w:rPr>
          <w:rFonts w:ascii="Arial" w:hAnsi="Arial"/>
          <w:color w:val="auto"/>
          <w:sz w:val="14"/>
          <w:szCs w:val="14"/>
          <w:lang w:val="cs-CZ"/>
        </w:rPr>
        <w:t>hemovigilance</w:t>
      </w:r>
      <w:proofErr w:type="spellEnd"/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se </w:t>
      </w:r>
      <w:proofErr w:type="gramStart"/>
      <w:r w:rsidRPr="00981095">
        <w:rPr>
          <w:rFonts w:ascii="Arial" w:hAnsi="Arial" w:cs="Arial"/>
          <w:color w:val="auto"/>
          <w:sz w:val="14"/>
          <w:szCs w:val="14"/>
          <w:lang w:val="cs-CZ"/>
        </w:rPr>
        <w:t xml:space="preserve">jedná </w:t>
      </w:r>
      <w:r w:rsidR="00EA598F">
        <w:rPr>
          <w:rFonts w:ascii="Arial" w:hAnsi="Arial" w:cs="Arial"/>
          <w:color w:val="auto"/>
          <w:sz w:val="14"/>
          <w:szCs w:val="14"/>
          <w:lang w:val="cs-CZ"/>
        </w:rPr>
        <w:t xml:space="preserve">         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o reakci</w:t>
      </w:r>
      <w:proofErr w:type="gramEnd"/>
      <w:r w:rsidRPr="00981095">
        <w:rPr>
          <w:rFonts w:ascii="Arial" w:hAnsi="Arial" w:cs="Arial"/>
          <w:color w:val="auto"/>
          <w:sz w:val="14"/>
          <w:szCs w:val="14"/>
          <w:lang w:val="cs-CZ"/>
        </w:rPr>
        <w:t>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86250C" w:rsidRDefault="0086250C">
      <w:pPr>
        <w:pStyle w:val="Zkladntextodsazen"/>
        <w:jc w:val="both"/>
        <w:rPr>
          <w:rFonts w:ascii="Arial" w:hAnsi="Arial"/>
          <w:color w:val="auto"/>
          <w:sz w:val="16"/>
          <w:lang w:val="cs-CZ"/>
        </w:rPr>
      </w:pPr>
    </w:p>
    <w:p w:rsidR="0086250C" w:rsidRDefault="0086250C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86250C" w:rsidRDefault="0086250C">
      <w:pPr>
        <w:pStyle w:val="Seznamsodrkami"/>
        <w:numPr>
          <w:ilvl w:val="0"/>
          <w:numId w:val="6"/>
        </w:numPr>
      </w:pPr>
      <w:r>
        <w:t xml:space="preserve">různé typy nesnášenlivosti plazmy </w:t>
      </w:r>
    </w:p>
    <w:p w:rsidR="0086250C" w:rsidRDefault="0086250C">
      <w:pPr>
        <w:pStyle w:val="Seznamsodrkami"/>
        <w:numPr>
          <w:ilvl w:val="0"/>
          <w:numId w:val="0"/>
        </w:num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86250C" w:rsidRDefault="0086250C" w:rsidP="00FD07CC">
      <w:pPr>
        <w:pStyle w:val="Zkladntext3"/>
        <w:rPr>
          <w:rFonts w:ascii="Arial" w:hAnsi="Arial"/>
          <w:sz w:val="14"/>
        </w:rPr>
      </w:pPr>
      <w:r>
        <w:rPr>
          <w:rFonts w:ascii="Arial" w:hAnsi="Arial"/>
          <w:sz w:val="14"/>
        </w:rPr>
        <w:t>Trombocyty se uchovávají maximálně 5 dnů při kontrolované teplotě +</w:t>
      </w:r>
      <w:smartTag w:uri="urn:schemas-microsoft-com:office:smarttags" w:element="metricconverter">
        <w:smartTagPr>
          <w:attr w:name="ProductID" w:val="20 ﾰC"/>
        </w:smartTagPr>
        <w:r>
          <w:rPr>
            <w:rFonts w:ascii="Arial" w:hAnsi="Arial"/>
            <w:sz w:val="14"/>
          </w:rPr>
          <w:t>20 °C</w:t>
        </w:r>
      </w:smartTag>
      <w:r>
        <w:rPr>
          <w:rFonts w:ascii="Arial" w:hAnsi="Arial"/>
          <w:sz w:val="14"/>
        </w:rPr>
        <w:t xml:space="preserve"> až +24ºC</w:t>
      </w:r>
      <w:r w:rsidR="00466D45">
        <w:rPr>
          <w:rFonts w:ascii="Arial" w:hAnsi="Arial"/>
          <w:sz w:val="14"/>
        </w:rPr>
        <w:t xml:space="preserve"> </w:t>
      </w:r>
      <w:r w:rsidR="00466D45" w:rsidRPr="00FA7980">
        <w:rPr>
          <w:rFonts w:ascii="Arial" w:hAnsi="Arial" w:cs="Arial"/>
          <w:sz w:val="14"/>
          <w:szCs w:val="22"/>
        </w:rPr>
        <w:t>(+19,6 °C až +24,4 °C)</w:t>
      </w:r>
      <w:r>
        <w:rPr>
          <w:rFonts w:ascii="Arial" w:hAnsi="Arial"/>
          <w:sz w:val="14"/>
        </w:rPr>
        <w:t xml:space="preserve"> za neustálého promíchávání na validovaných třepačkách. </w:t>
      </w:r>
    </w:p>
    <w:p w:rsidR="0086250C" w:rsidRDefault="0086250C" w:rsidP="00FD07CC">
      <w:pPr>
        <w:pStyle w:val="Zkladntext3"/>
        <w:rPr>
          <w:rFonts w:ascii="Arial" w:hAnsi="Arial"/>
          <w:b/>
          <w:i/>
          <w:sz w:val="14"/>
        </w:rPr>
      </w:pPr>
      <w:r>
        <w:rPr>
          <w:rFonts w:ascii="Arial" w:hAnsi="Arial"/>
          <w:sz w:val="14"/>
        </w:rPr>
        <w:t xml:space="preserve">Míchání trombocytů během uchovávání musí být natolik účinné, aby zaručovalo dostupnost </w:t>
      </w:r>
      <w:proofErr w:type="gramStart"/>
      <w:r>
        <w:rPr>
          <w:rFonts w:ascii="Arial" w:hAnsi="Arial"/>
          <w:sz w:val="14"/>
        </w:rPr>
        <w:t>kyslíku a zároveň</w:t>
      </w:r>
      <w:proofErr w:type="gramEnd"/>
      <w:r>
        <w:rPr>
          <w:rFonts w:ascii="Arial" w:hAnsi="Arial"/>
          <w:sz w:val="14"/>
        </w:rPr>
        <w:t xml:space="preserve"> musí být co nejšetrnější.</w:t>
      </w:r>
    </w:p>
    <w:p w:rsidR="0086250C" w:rsidRDefault="0086250C" w:rsidP="00FD07CC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120 hodin a je uvedena na štítku transfuzního přípravku.</w:t>
      </w: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1 </w:t>
      </w:r>
      <w:proofErr w:type="gramStart"/>
      <w:r>
        <w:rPr>
          <w:rFonts w:ascii="Arial" w:hAnsi="Arial"/>
          <w:sz w:val="14"/>
        </w:rPr>
        <w:t>T.U. obsahuje</w:t>
      </w:r>
      <w:proofErr w:type="gramEnd"/>
      <w:r>
        <w:rPr>
          <w:rFonts w:ascii="Arial" w:hAnsi="Arial"/>
          <w:sz w:val="14"/>
        </w:rPr>
        <w:t xml:space="preserve"> trombocyty ze separace od jednoho dárce.</w:t>
      </w:r>
    </w:p>
    <w:p w:rsidR="0086250C" w:rsidRDefault="0086250C">
      <w:pPr>
        <w:jc w:val="both"/>
        <w:rPr>
          <w:rFonts w:ascii="Arial" w:hAnsi="Arial"/>
          <w:b/>
          <w:i/>
          <w:sz w:val="14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86250C" w:rsidRDefault="009242BE">
      <w:pPr>
        <w:tabs>
          <w:tab w:val="left" w:pos="284"/>
        </w:tabs>
        <w:jc w:val="both"/>
        <w:rPr>
          <w:rFonts w:ascii="Arial" w:hAnsi="Arial" w:cs="Arial"/>
          <w:sz w:val="14"/>
        </w:rPr>
      </w:pPr>
      <w:r w:rsidRPr="009242BE">
        <w:rPr>
          <w:rFonts w:ascii="Arial" w:hAnsi="Arial" w:cs="Arial"/>
          <w:sz w:val="14"/>
        </w:rPr>
        <w:t xml:space="preserve">Termoboxy  pro  přepravu  trombocytů   by  měly  být   před  jejich  použitím  otevřeny  po  dobu   30 </w:t>
      </w:r>
      <w:proofErr w:type="gramStart"/>
      <w:r w:rsidRPr="009242BE">
        <w:rPr>
          <w:rFonts w:ascii="Arial" w:hAnsi="Arial" w:cs="Arial"/>
          <w:sz w:val="14"/>
        </w:rPr>
        <w:t xml:space="preserve">minut </w:t>
      </w:r>
      <w:r w:rsidR="00EA598F">
        <w:rPr>
          <w:rFonts w:ascii="Arial" w:hAnsi="Arial" w:cs="Arial"/>
          <w:sz w:val="14"/>
        </w:rPr>
        <w:t xml:space="preserve">  </w:t>
      </w:r>
      <w:r w:rsidRPr="009242BE">
        <w:rPr>
          <w:rFonts w:ascii="Arial" w:hAnsi="Arial" w:cs="Arial"/>
          <w:sz w:val="14"/>
        </w:rPr>
        <w:t>při</w:t>
      </w:r>
      <w:proofErr w:type="gramEnd"/>
      <w:r w:rsidRPr="009242BE">
        <w:rPr>
          <w:rFonts w:ascii="Arial" w:hAnsi="Arial" w:cs="Arial"/>
          <w:sz w:val="14"/>
        </w:rPr>
        <w:t xml:space="preserve"> pokojové teplotě. Během přepravy by se měla teplota trombocytových koncentrátů udržovat co nejblíže k doporučované teplotě, tj. +20 ºC až +24 </w:t>
      </w:r>
      <w:r w:rsidRPr="009242BE">
        <w:rPr>
          <w:rFonts w:ascii="Arial" w:hAnsi="Arial" w:cs="Arial"/>
          <w:sz w:val="14"/>
          <w:szCs w:val="22"/>
        </w:rPr>
        <w:t>ºC (+19,6 °C až +24,4 °C).</w:t>
      </w:r>
      <w:r w:rsidRPr="009242BE">
        <w:rPr>
          <w:rFonts w:ascii="Arial" w:hAnsi="Arial" w:cs="Arial"/>
          <w:sz w:val="14"/>
        </w:rPr>
        <w:t xml:space="preserve"> Při přepravě kratší než 10 hodin není nutno zajišťovat třepání. Po příjmu by se měly trombocyty uchovávat za doporučených podmínek, </w:t>
      </w:r>
      <w:proofErr w:type="gramStart"/>
      <w:r w:rsidRPr="009242BE">
        <w:rPr>
          <w:rFonts w:ascii="Arial" w:hAnsi="Arial" w:cs="Arial"/>
          <w:sz w:val="14"/>
        </w:rPr>
        <w:t xml:space="preserve">pokud </w:t>
      </w:r>
      <w:r w:rsidR="00EA598F">
        <w:rPr>
          <w:rFonts w:ascii="Arial" w:hAnsi="Arial" w:cs="Arial"/>
          <w:sz w:val="14"/>
        </w:rPr>
        <w:t xml:space="preserve">     </w:t>
      </w:r>
      <w:r w:rsidRPr="009242BE">
        <w:rPr>
          <w:rFonts w:ascii="Arial" w:hAnsi="Arial" w:cs="Arial"/>
          <w:sz w:val="14"/>
        </w:rPr>
        <w:t>se</w:t>
      </w:r>
      <w:proofErr w:type="gramEnd"/>
      <w:r w:rsidRPr="009242BE">
        <w:rPr>
          <w:rFonts w:ascii="Arial" w:hAnsi="Arial" w:cs="Arial"/>
          <w:sz w:val="14"/>
        </w:rPr>
        <w:t xml:space="preserve"> bezprostředně nepoužijí k transfuzi. Před použitím by se měly dále míchat. Po doručení na oddělení </w:t>
      </w:r>
      <w:proofErr w:type="gramStart"/>
      <w:r w:rsidRPr="009242BE">
        <w:rPr>
          <w:rFonts w:ascii="Arial" w:hAnsi="Arial" w:cs="Arial"/>
          <w:sz w:val="14"/>
        </w:rPr>
        <w:t xml:space="preserve">by </w:t>
      </w:r>
      <w:r w:rsidR="00EA598F">
        <w:rPr>
          <w:rFonts w:ascii="Arial" w:hAnsi="Arial" w:cs="Arial"/>
          <w:sz w:val="14"/>
        </w:rPr>
        <w:t xml:space="preserve">   </w:t>
      </w:r>
      <w:r w:rsidRPr="009242BE">
        <w:rPr>
          <w:rFonts w:ascii="Arial" w:hAnsi="Arial" w:cs="Arial"/>
          <w:sz w:val="14"/>
        </w:rPr>
        <w:t>se</w:t>
      </w:r>
      <w:proofErr w:type="gramEnd"/>
      <w:r w:rsidRPr="009242BE">
        <w:rPr>
          <w:rFonts w:ascii="Arial" w:hAnsi="Arial" w:cs="Arial"/>
          <w:sz w:val="14"/>
        </w:rPr>
        <w:t xml:space="preserve"> měly neprodleně aplikovat.</w:t>
      </w:r>
    </w:p>
    <w:p w:rsidR="00EA598F" w:rsidRPr="009242BE" w:rsidRDefault="00EA598F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86250C" w:rsidRDefault="0086250C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86250C" w:rsidRDefault="00EA598F" w:rsidP="003D4FBF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Srpen</w:t>
      </w:r>
      <w:r w:rsidR="0086250C">
        <w:rPr>
          <w:rFonts w:ascii="Arial" w:hAnsi="Arial"/>
          <w:sz w:val="14"/>
        </w:rPr>
        <w:t xml:space="preserve"> 201</w:t>
      </w:r>
      <w:r w:rsidR="009242BE">
        <w:rPr>
          <w:rFonts w:ascii="Arial" w:hAnsi="Arial"/>
          <w:sz w:val="14"/>
        </w:rPr>
        <w:t>8 – verze č. 05</w:t>
      </w:r>
    </w:p>
    <w:sectPr w:rsidR="0086250C" w:rsidSect="001D2586">
      <w:footerReference w:type="even" r:id="rId9"/>
      <w:footerReference w:type="default" r:id="rId10"/>
      <w:pgSz w:w="8505" w:h="11907"/>
      <w:pgMar w:top="851" w:right="851" w:bottom="567" w:left="851" w:header="708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FC" w:rsidRDefault="002276FC">
      <w:r>
        <w:separator/>
      </w:r>
    </w:p>
  </w:endnote>
  <w:endnote w:type="continuationSeparator" w:id="0">
    <w:p w:rsidR="002276FC" w:rsidRDefault="0022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50C" w:rsidRDefault="000A04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6250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250C">
      <w:rPr>
        <w:rStyle w:val="slostrnky"/>
        <w:noProof/>
      </w:rPr>
      <w:t>1</w:t>
    </w:r>
    <w:r>
      <w:rPr>
        <w:rStyle w:val="slostrnky"/>
      </w:rPr>
      <w:fldChar w:fldCharType="end"/>
    </w:r>
  </w:p>
  <w:p w:rsidR="0086250C" w:rsidRDefault="0086250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50C" w:rsidRDefault="0086250C">
    <w:pPr>
      <w:pStyle w:val="Zpat"/>
      <w:framePr w:wrap="around" w:vAnchor="text" w:hAnchor="margin" w:xAlign="right" w:y="1"/>
      <w:rPr>
        <w:rStyle w:val="slostrnky"/>
      </w:rPr>
    </w:pPr>
  </w:p>
  <w:p w:rsidR="0086250C" w:rsidRDefault="000A045C">
    <w:pPr>
      <w:pStyle w:val="Zpat"/>
      <w:ind w:right="360"/>
      <w:jc w:val="center"/>
      <w:rPr>
        <w:sz w:val="14"/>
      </w:rPr>
    </w:pPr>
    <w:r>
      <w:rPr>
        <w:rStyle w:val="slostrnky"/>
        <w:sz w:val="14"/>
      </w:rPr>
      <w:fldChar w:fldCharType="begin"/>
    </w:r>
    <w:r w:rsidR="0086250C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EC7C9E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 w:rsidR="0086250C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86250C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EC7C9E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FC" w:rsidRDefault="002276FC">
      <w:r>
        <w:separator/>
      </w:r>
    </w:p>
  </w:footnote>
  <w:footnote w:type="continuationSeparator" w:id="0">
    <w:p w:rsidR="002276FC" w:rsidRDefault="00227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84C6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45C9"/>
    <w:multiLevelType w:val="multilevel"/>
    <w:tmpl w:val="E7DA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0C1B03"/>
    <w:multiLevelType w:val="multilevel"/>
    <w:tmpl w:val="022A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86654"/>
    <w:multiLevelType w:val="singleLevel"/>
    <w:tmpl w:val="362202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10"/>
  </w:num>
  <w:num w:numId="16">
    <w:abstractNumId w:val="11"/>
  </w:num>
  <w:num w:numId="17">
    <w:abstractNumId w:val="9"/>
  </w:num>
  <w:num w:numId="18">
    <w:abstractNumId w:val="8"/>
  </w:num>
  <w:num w:numId="19">
    <w:abstractNumId w:val="1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F6C"/>
    <w:rsid w:val="00002903"/>
    <w:rsid w:val="00062C0C"/>
    <w:rsid w:val="0007434A"/>
    <w:rsid w:val="000A045C"/>
    <w:rsid w:val="000F1AC0"/>
    <w:rsid w:val="00115D78"/>
    <w:rsid w:val="001D2586"/>
    <w:rsid w:val="001E613A"/>
    <w:rsid w:val="002276FC"/>
    <w:rsid w:val="0026001F"/>
    <w:rsid w:val="002A29D7"/>
    <w:rsid w:val="002F0954"/>
    <w:rsid w:val="003A2C15"/>
    <w:rsid w:val="003D4FBF"/>
    <w:rsid w:val="00463646"/>
    <w:rsid w:val="00466D45"/>
    <w:rsid w:val="00522149"/>
    <w:rsid w:val="00522D87"/>
    <w:rsid w:val="00546FF1"/>
    <w:rsid w:val="00553E58"/>
    <w:rsid w:val="005713EA"/>
    <w:rsid w:val="005A4F9D"/>
    <w:rsid w:val="00632236"/>
    <w:rsid w:val="00667897"/>
    <w:rsid w:val="00673F3A"/>
    <w:rsid w:val="006923A6"/>
    <w:rsid w:val="006B690A"/>
    <w:rsid w:val="006F6ED5"/>
    <w:rsid w:val="00712782"/>
    <w:rsid w:val="00715B34"/>
    <w:rsid w:val="007E3FFD"/>
    <w:rsid w:val="007F5624"/>
    <w:rsid w:val="00807BF7"/>
    <w:rsid w:val="0086250C"/>
    <w:rsid w:val="0088551F"/>
    <w:rsid w:val="009242BE"/>
    <w:rsid w:val="0093680C"/>
    <w:rsid w:val="00981095"/>
    <w:rsid w:val="00A44693"/>
    <w:rsid w:val="00AE1E70"/>
    <w:rsid w:val="00AE61DE"/>
    <w:rsid w:val="00B45B11"/>
    <w:rsid w:val="00C164E0"/>
    <w:rsid w:val="00C35F8C"/>
    <w:rsid w:val="00C739B3"/>
    <w:rsid w:val="00CB29D7"/>
    <w:rsid w:val="00D2179B"/>
    <w:rsid w:val="00D516B2"/>
    <w:rsid w:val="00D63361"/>
    <w:rsid w:val="00DC3F9D"/>
    <w:rsid w:val="00DD4CB8"/>
    <w:rsid w:val="00DD7D2E"/>
    <w:rsid w:val="00E41C40"/>
    <w:rsid w:val="00E544E5"/>
    <w:rsid w:val="00E971B7"/>
    <w:rsid w:val="00EA4EEE"/>
    <w:rsid w:val="00EA598F"/>
    <w:rsid w:val="00EC7C9E"/>
    <w:rsid w:val="00F07B02"/>
    <w:rsid w:val="00F16F53"/>
    <w:rsid w:val="00F235A7"/>
    <w:rsid w:val="00F372F9"/>
    <w:rsid w:val="00F8186F"/>
    <w:rsid w:val="00FA3F6C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544150-7D75-4995-9462-3E5AAF4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D8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22D87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522D87"/>
    <w:pPr>
      <w:keepNext/>
      <w:jc w:val="both"/>
      <w:outlineLvl w:val="1"/>
    </w:pPr>
    <w:rPr>
      <w:b/>
      <w:caps/>
      <w:sz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22D87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paragraph" w:styleId="Nadpis7">
    <w:name w:val="heading 7"/>
    <w:basedOn w:val="Normln"/>
    <w:next w:val="Normln"/>
    <w:link w:val="Nadpis7Char"/>
    <w:uiPriority w:val="99"/>
    <w:qFormat/>
    <w:rsid w:val="00522D87"/>
    <w:pPr>
      <w:keepNext/>
      <w:outlineLvl w:val="6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636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636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463646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463646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22D87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63646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522D87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522D87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63646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522D87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463646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522D87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6364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522D87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463646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522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3646"/>
    <w:rPr>
      <w:rFonts w:cs="Times New Roman"/>
    </w:rPr>
  </w:style>
  <w:style w:type="character" w:styleId="slostrnky">
    <w:name w:val="page number"/>
    <w:basedOn w:val="Standardnpsmoodstavce"/>
    <w:uiPriority w:val="99"/>
    <w:rsid w:val="00522D87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522D87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63646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522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63646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522D87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46364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97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4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7935-9E9B-42DA-A464-3FE35C04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1022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</dc:creator>
  <cp:lastModifiedBy>Hrabálek Petr, Ing.</cp:lastModifiedBy>
  <cp:revision>7</cp:revision>
  <cp:lastPrinted>2020-04-16T09:24:00Z</cp:lastPrinted>
  <dcterms:created xsi:type="dcterms:W3CDTF">2018-07-23T09:51:00Z</dcterms:created>
  <dcterms:modified xsi:type="dcterms:W3CDTF">2020-04-16T09:24:00Z</dcterms:modified>
</cp:coreProperties>
</file>