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5E" w:rsidRDefault="00675123">
      <w:pPr>
        <w:pStyle w:val="Nzev"/>
        <w:jc w:val="both"/>
        <w:rPr>
          <w:rFonts w:ascii="Arial" w:hAnsi="Arial"/>
          <w:i/>
          <w:sz w:val="16"/>
          <w:u w:val="thick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-311785</wp:posOffset>
            </wp:positionV>
            <wp:extent cx="1835150" cy="469900"/>
            <wp:effectExtent l="19050" t="0" r="0" b="0"/>
            <wp:wrapSquare wrapText="bothSides"/>
            <wp:docPr id="1" name="obrázek 2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Arial Black" w:hAnsi="Arial Black"/>
          <w:b w:val="0"/>
          <w:sz w:val="20"/>
          <w:u w:val="thick"/>
        </w:rPr>
        <w:br w:type="textWrapping" w:clear="all"/>
      </w:r>
      <w:r w:rsidR="00C5765E">
        <w:rPr>
          <w:rFonts w:ascii="Arial Black" w:hAnsi="Arial Black"/>
          <w:b w:val="0"/>
          <w:sz w:val="20"/>
          <w:u w:val="thick"/>
        </w:rPr>
        <w:t>Informace o transfuzním přípravku</w:t>
      </w:r>
      <w:r w:rsidR="00C5765E">
        <w:rPr>
          <w:sz w:val="16"/>
          <w:u w:val="thick"/>
        </w:rPr>
        <w:t xml:space="preserve"> – </w:t>
      </w:r>
      <w:r w:rsidR="00C5765E">
        <w:rPr>
          <w:rFonts w:ascii="Arial Black" w:hAnsi="Arial Black"/>
          <w:b w:val="0"/>
          <w:sz w:val="18"/>
          <w:u w:val="thick"/>
        </w:rPr>
        <w:t>ČTĚTE POZORNĚ!</w:t>
      </w:r>
    </w:p>
    <w:p w:rsidR="00C5765E" w:rsidRDefault="00C5765E">
      <w:pPr>
        <w:jc w:val="both"/>
        <w:rPr>
          <w:b/>
          <w:sz w:val="16"/>
        </w:rPr>
      </w:pPr>
    </w:p>
    <w:p w:rsidR="00C5765E" w:rsidRDefault="00C5765E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6D72DC">
        <w:rPr>
          <w:rFonts w:ascii="Arial Narrow" w:hAnsi="Arial Narrow"/>
          <w:spacing w:val="8"/>
          <w:sz w:val="16"/>
        </w:rPr>
        <w:t xml:space="preserve"> 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C5765E" w:rsidRDefault="00C5765E">
      <w:pPr>
        <w:pStyle w:val="Zkladntext"/>
        <w:jc w:val="both"/>
      </w:pPr>
      <w:r>
        <w:t xml:space="preserve">                       </w:t>
      </w:r>
    </w:p>
    <w:p w:rsidR="00C5765E" w:rsidRDefault="00C5765E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</w:t>
      </w:r>
      <w:r>
        <w:rPr>
          <w:color w:val="auto"/>
          <w:sz w:val="18"/>
        </w:rPr>
        <w:t xml:space="preserve">TROMBOcyty Z buffy-coatu smĚsné  </w:t>
      </w:r>
    </w:p>
    <w:p w:rsidR="00C5765E" w:rsidRPr="00F1212A" w:rsidRDefault="00C5765E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                 DeleukotizovanÉ V náhradním roztoku</w:t>
      </w:r>
    </w:p>
    <w:p w:rsidR="00C5765E" w:rsidRDefault="00C5765E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TBSDR</w:t>
      </w:r>
    </w:p>
    <w:p w:rsidR="00C5765E" w:rsidRPr="006D72DC" w:rsidRDefault="00C5765E">
      <w:pPr>
        <w:jc w:val="both"/>
        <w:rPr>
          <w:sz w:val="16"/>
          <w:szCs w:val="16"/>
        </w:rPr>
      </w:pP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Olomouc – C 2059.</w:t>
      </w:r>
    </w:p>
    <w:p w:rsidR="00C5765E" w:rsidRDefault="00C5765E">
      <w:pPr>
        <w:jc w:val="both"/>
        <w:rPr>
          <w:caps/>
          <w:sz w:val="14"/>
        </w:rPr>
      </w:pP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C5765E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v terapeutické účinné formě  více než 200 x 10</w:t>
      </w:r>
      <w:r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 xml:space="preserve">/TD (terapeutická dávka), </w:t>
      </w:r>
    </w:p>
    <w:p w:rsidR="00C5765E" w:rsidRPr="00040A45" w:rsidRDefault="00C5765E" w:rsidP="001B0D6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resuspendované v plazmě a v náhradním roztoku SSP+ (</w:t>
      </w:r>
      <w:r w:rsidRPr="00553E58">
        <w:rPr>
          <w:rFonts w:ascii="Arial" w:hAnsi="Arial"/>
          <w:sz w:val="14"/>
        </w:rPr>
        <w:t>(</w:t>
      </w:r>
      <w:r w:rsidRPr="00553E58">
        <w:rPr>
          <w:rFonts w:ascii="Arial" w:hAnsi="Arial" w:cs="Arial"/>
          <w:sz w:val="14"/>
          <w:szCs w:val="16"/>
        </w:rPr>
        <w:t>Na</w:t>
      </w:r>
      <w:r w:rsidRPr="00553E58">
        <w:rPr>
          <w:rFonts w:ascii="Arial" w:hAnsi="Arial" w:cs="Arial"/>
          <w:sz w:val="14"/>
          <w:szCs w:val="16"/>
          <w:vertAlign w:val="subscript"/>
        </w:rPr>
        <w:t>3</w:t>
      </w:r>
      <w:r w:rsidRPr="00553E58">
        <w:rPr>
          <w:rFonts w:ascii="Arial" w:hAnsi="Arial" w:cs="Arial"/>
          <w:sz w:val="14"/>
          <w:szCs w:val="16"/>
        </w:rPr>
        <w:t>-citrat 2H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 </w:t>
      </w:r>
      <w:smartTag w:uri="urn:schemas-microsoft-com:office:smarttags" w:element="metricconverter">
        <w:smartTagPr>
          <w:attr w:name="ProductID" w:val="3,18 g"/>
        </w:smartTagPr>
        <w:smartTag w:uri="urn:schemas-microsoft-com:office:smarttags" w:element="metricconverter">
          <w:smartTagPr>
            <w:attr w:name="ProductID" w:val="3,18 g"/>
          </w:smartTagPr>
          <w:r w:rsidRPr="00553E58">
            <w:rPr>
              <w:rFonts w:ascii="Arial" w:hAnsi="Arial" w:cs="Arial"/>
              <w:sz w:val="14"/>
              <w:szCs w:val="16"/>
            </w:rPr>
            <w:t>3,18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>Na-acetat 3H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</w:p>
    <w:p w:rsidR="00C5765E" w:rsidRDefault="00C5765E" w:rsidP="00040A45">
      <w:pPr>
        <w:ind w:left="426" w:hanging="426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         </w:t>
      </w:r>
      <w:smartTag w:uri="urn:schemas-microsoft-com:office:smarttags" w:element="metricconverter">
        <w:smartTagPr>
          <w:attr w:name="ProductID" w:val="4,42 g"/>
        </w:smartTagPr>
        <w:r w:rsidRPr="00553E58">
          <w:rPr>
            <w:rFonts w:ascii="Arial" w:hAnsi="Arial" w:cs="Arial"/>
            <w:sz w:val="14"/>
            <w:szCs w:val="16"/>
          </w:rPr>
          <w:t>4,42 g</w:t>
        </w:r>
      </w:smartTag>
      <w:r w:rsidRPr="00553E58">
        <w:rPr>
          <w:rFonts w:ascii="Arial" w:hAnsi="Arial" w:cs="Arial"/>
          <w:sz w:val="14"/>
          <w:szCs w:val="16"/>
        </w:rPr>
        <w:t>, NaH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>PO</w:t>
      </w:r>
      <w:r w:rsidRPr="00553E58">
        <w:rPr>
          <w:rFonts w:ascii="Arial" w:hAnsi="Arial" w:cs="Arial"/>
          <w:sz w:val="14"/>
          <w:szCs w:val="16"/>
          <w:vertAlign w:val="subscript"/>
        </w:rPr>
        <w:t xml:space="preserve">4 </w:t>
      </w:r>
      <w:r w:rsidRPr="00553E58">
        <w:rPr>
          <w:rFonts w:ascii="Arial" w:hAnsi="Arial" w:cs="Arial"/>
          <w:sz w:val="14"/>
          <w:szCs w:val="16"/>
        </w:rPr>
        <w:t>2H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1,05 g"/>
        </w:smartTagPr>
        <w:smartTag w:uri="urn:schemas-microsoft-com:office:smarttags" w:element="metricconverter">
          <w:smartTagPr>
            <w:attr w:name="ProductID" w:val="1,05 g"/>
          </w:smartTagPr>
          <w:r w:rsidRPr="00553E58">
            <w:rPr>
              <w:rFonts w:ascii="Arial" w:hAnsi="Arial" w:cs="Arial"/>
              <w:sz w:val="14"/>
              <w:szCs w:val="16"/>
            </w:rPr>
            <w:t>1,05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>NaH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>PO</w:t>
      </w:r>
      <w:r w:rsidRPr="00553E58">
        <w:rPr>
          <w:rFonts w:ascii="Arial" w:hAnsi="Arial" w:cs="Arial"/>
          <w:sz w:val="14"/>
          <w:szCs w:val="16"/>
          <w:vertAlign w:val="subscript"/>
        </w:rPr>
        <w:t xml:space="preserve">4  </w:t>
      </w:r>
      <w:smartTag w:uri="urn:schemas-microsoft-com:office:smarttags" w:element="metricconverter">
        <w:smartTagPr>
          <w:attr w:name="ProductID" w:val="3,05 g"/>
        </w:smartTagPr>
        <w:smartTag w:uri="urn:schemas-microsoft-com:office:smarttags" w:element="metricconverter">
          <w:smartTagPr>
            <w:attr w:name="ProductID" w:val="3,05 g"/>
          </w:smartTagPr>
          <w:r w:rsidRPr="00553E58">
            <w:rPr>
              <w:rFonts w:ascii="Arial" w:hAnsi="Arial" w:cs="Arial"/>
              <w:sz w:val="14"/>
              <w:szCs w:val="16"/>
            </w:rPr>
            <w:t>3,05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 xml:space="preserve">KCl </w:t>
      </w:r>
      <w:smartTag w:uri="urn:schemas-microsoft-com:office:smarttags" w:element="metricconverter">
        <w:smartTagPr>
          <w:attr w:name="ProductID" w:val="0,37 g"/>
        </w:smartTagPr>
        <w:smartTag w:uri="urn:schemas-microsoft-com:office:smarttags" w:element="metricconverter">
          <w:smartTagPr>
            <w:attr w:name="ProductID" w:val="0,37 g"/>
          </w:smartTagPr>
          <w:r w:rsidRPr="00553E58">
            <w:rPr>
              <w:rFonts w:ascii="Arial" w:hAnsi="Arial" w:cs="Arial"/>
              <w:sz w:val="14"/>
              <w:szCs w:val="16"/>
            </w:rPr>
            <w:t>0,37 g</w:t>
          </w:r>
        </w:smartTag>
        <w:r w:rsidRPr="00553E58">
          <w:rPr>
            <w:rFonts w:ascii="Arial" w:hAnsi="Arial" w:cs="Arial"/>
            <w:sz w:val="14"/>
            <w:szCs w:val="16"/>
          </w:rPr>
          <w:t>,</w:t>
        </w:r>
      </w:smartTag>
      <w:r w:rsidRPr="00553E58">
        <w:rPr>
          <w:rFonts w:ascii="Arial" w:hAnsi="Arial" w:cs="Arial"/>
          <w:sz w:val="14"/>
          <w:szCs w:val="16"/>
        </w:rPr>
        <w:t>MgCl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 6H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0,30 g"/>
        </w:smartTagPr>
        <w:smartTag w:uri="urn:schemas-microsoft-com:office:smarttags" w:element="metricconverter">
          <w:smartTagPr>
            <w:attr w:name="ProductID" w:val="0,30 g"/>
          </w:smartTagPr>
          <w:r w:rsidRPr="00553E58">
            <w:rPr>
              <w:rFonts w:ascii="Arial" w:hAnsi="Arial" w:cs="Arial"/>
              <w:sz w:val="14"/>
              <w:szCs w:val="16"/>
            </w:rPr>
            <w:t>0,30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 xml:space="preserve">NaCl </w:t>
      </w:r>
      <w:smartTag w:uri="urn:schemas-microsoft-com:office:smarttags" w:element="metricconverter">
        <w:smartTagPr>
          <w:attr w:name="ProductID" w:val="4,05 g"/>
        </w:smartTagPr>
        <w:smartTag w:uri="urn:schemas-microsoft-com:office:smarttags" w:element="metricconverter">
          <w:smartTagPr>
            <w:attr w:name="ProductID" w:val="4,05 g"/>
          </w:smartTagPr>
          <w:r w:rsidRPr="00553E58">
            <w:rPr>
              <w:rFonts w:ascii="Arial" w:hAnsi="Arial" w:cs="Arial"/>
              <w:sz w:val="14"/>
              <w:szCs w:val="16"/>
            </w:rPr>
            <w:t>4,05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>
        <w:rPr>
          <w:rFonts w:ascii="Arial" w:hAnsi="Arial" w:cs="Arial"/>
          <w:sz w:val="14"/>
          <w:szCs w:val="16"/>
        </w:rPr>
        <w:t>Aqua pro</w:t>
      </w:r>
    </w:p>
    <w:p w:rsidR="00C5765E" w:rsidRDefault="00C5765E" w:rsidP="00040A45">
      <w:pPr>
        <w:ind w:left="426" w:hanging="426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4"/>
          <w:szCs w:val="16"/>
        </w:rPr>
        <w:t xml:space="preserve">         </w:t>
      </w:r>
      <w:r w:rsidRPr="00553E58">
        <w:rPr>
          <w:rFonts w:ascii="Arial" w:hAnsi="Arial" w:cs="Arial"/>
          <w:sz w:val="14"/>
          <w:szCs w:val="16"/>
        </w:rPr>
        <w:t>injectione do 1.000 ml, pH 7,2</w:t>
      </w:r>
      <w:r>
        <w:rPr>
          <w:rFonts w:ascii="Arial" w:hAnsi="Arial" w:cs="Arial"/>
          <w:sz w:val="14"/>
          <w:szCs w:val="16"/>
        </w:rPr>
        <w:t>),</w:t>
      </w:r>
      <w:r w:rsidRPr="00553E58">
        <w:rPr>
          <w:rFonts w:ascii="Arial" w:hAnsi="Arial"/>
          <w:sz w:val="14"/>
        </w:rPr>
        <w:t xml:space="preserve">  </w:t>
      </w:r>
      <w:r>
        <w:rPr>
          <w:rFonts w:ascii="Arial" w:hAnsi="Arial"/>
          <w:sz w:val="14"/>
        </w:rPr>
        <w:t xml:space="preserve"> </w:t>
      </w:r>
    </w:p>
    <w:p w:rsidR="00C5765E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antikoagulační roztok CPD, </w:t>
      </w:r>
    </w:p>
    <w:p w:rsidR="00C5765E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reziduální leukocyty: méně než 1,0 x 10</w:t>
      </w:r>
      <w:r>
        <w:rPr>
          <w:rFonts w:ascii="Arial" w:hAnsi="Arial"/>
          <w:sz w:val="14"/>
          <w:vertAlign w:val="superscript"/>
        </w:rPr>
        <w:t>6</w:t>
      </w:r>
      <w:r>
        <w:rPr>
          <w:rFonts w:ascii="Arial" w:hAnsi="Arial"/>
          <w:sz w:val="14"/>
        </w:rPr>
        <w:t>/T.U.,</w:t>
      </w:r>
    </w:p>
    <w:p w:rsidR="00C5765E" w:rsidRPr="00247495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247495">
        <w:rPr>
          <w:rFonts w:ascii="Arial" w:hAnsi="Arial"/>
          <w:sz w:val="14"/>
        </w:rPr>
        <w:t xml:space="preserve">koncentrát obsahuje 30 </w:t>
      </w:r>
      <w:r>
        <w:rPr>
          <w:rFonts w:ascii="Arial" w:hAnsi="Arial"/>
          <w:sz w:val="14"/>
        </w:rPr>
        <w:t xml:space="preserve"> </w:t>
      </w:r>
      <w:r w:rsidRPr="00247495">
        <w:rPr>
          <w:rFonts w:ascii="Arial" w:hAnsi="Arial"/>
          <w:sz w:val="14"/>
        </w:rPr>
        <w:t>%</w:t>
      </w:r>
      <w:r>
        <w:rPr>
          <w:rFonts w:ascii="Arial" w:hAnsi="Arial"/>
          <w:sz w:val="14"/>
        </w:rPr>
        <w:t xml:space="preserve"> </w:t>
      </w:r>
      <w:r w:rsidRPr="00247495">
        <w:rPr>
          <w:rFonts w:ascii="Arial" w:hAnsi="Arial"/>
          <w:sz w:val="14"/>
        </w:rPr>
        <w:t>- 40 % plazmy a 60</w:t>
      </w:r>
      <w:r>
        <w:rPr>
          <w:rFonts w:ascii="Arial" w:hAnsi="Arial"/>
          <w:sz w:val="14"/>
        </w:rPr>
        <w:t xml:space="preserve"> %</w:t>
      </w:r>
      <w:r w:rsidRPr="00247495">
        <w:rPr>
          <w:rFonts w:ascii="Arial" w:hAnsi="Arial"/>
          <w:sz w:val="14"/>
        </w:rPr>
        <w:t xml:space="preserve"> - 70 % náhradního roztoku </w:t>
      </w:r>
      <w:r>
        <w:rPr>
          <w:rFonts w:ascii="Arial" w:hAnsi="Arial"/>
          <w:sz w:val="14"/>
        </w:rPr>
        <w:t>SSP+,</w:t>
      </w:r>
    </w:p>
    <w:p w:rsidR="00C5765E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pH na</w:t>
      </w:r>
      <w:r w:rsidR="006A0CE1">
        <w:rPr>
          <w:rFonts w:ascii="Arial" w:hAnsi="Arial"/>
          <w:sz w:val="14"/>
        </w:rPr>
        <w:t xml:space="preserve"> konci doby použitelnosti 6,4 nebo vyšší</w:t>
      </w:r>
      <w:r>
        <w:rPr>
          <w:rFonts w:ascii="Arial" w:hAnsi="Arial"/>
          <w:sz w:val="14"/>
        </w:rPr>
        <w:t>.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C5765E" w:rsidRDefault="00C5765E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C5765E" w:rsidRDefault="00C5765E">
      <w:pPr>
        <w:jc w:val="both"/>
        <w:rPr>
          <w:rFonts w:ascii="Arial" w:hAnsi="Arial"/>
          <w:sz w:val="14"/>
        </w:rPr>
      </w:pPr>
    </w:p>
    <w:p w:rsidR="00C5765E" w:rsidRPr="009B6AE3" w:rsidRDefault="00C5765E">
      <w:pPr>
        <w:jc w:val="both"/>
        <w:rPr>
          <w:rFonts w:ascii="Arial" w:hAnsi="Arial"/>
          <w:sz w:val="14"/>
        </w:rPr>
      </w:pPr>
      <w:r w:rsidRPr="009B6AE3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0107936</w:t>
      </w:r>
    </w:p>
    <w:p w:rsidR="00C5765E" w:rsidRDefault="00C5765E">
      <w:pPr>
        <w:pStyle w:val="Nadpis1"/>
        <w:rPr>
          <w:snapToGrid w:val="0"/>
        </w:rPr>
      </w:pPr>
    </w:p>
    <w:p w:rsidR="00C5765E" w:rsidRDefault="00C5765E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C5765E" w:rsidRDefault="00C5765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TBSDR je koncentrát trombocytů, získaný z buffy coatů </w:t>
      </w:r>
      <w:r w:rsidR="006A0CE1">
        <w:rPr>
          <w:rFonts w:ascii="Arial" w:hAnsi="Arial"/>
          <w:sz w:val="14"/>
        </w:rPr>
        <w:t>4</w:t>
      </w:r>
      <w:r>
        <w:rPr>
          <w:rFonts w:ascii="Arial" w:hAnsi="Arial"/>
          <w:sz w:val="14"/>
        </w:rPr>
        <w:t xml:space="preserve"> odběrů plné krve od </w:t>
      </w:r>
      <w:r w:rsidR="006A0CE1">
        <w:rPr>
          <w:rFonts w:ascii="Arial" w:hAnsi="Arial"/>
          <w:sz w:val="14"/>
        </w:rPr>
        <w:t>4</w:t>
      </w:r>
      <w:r>
        <w:rPr>
          <w:rFonts w:ascii="Arial" w:hAnsi="Arial"/>
          <w:sz w:val="14"/>
        </w:rPr>
        <w:t xml:space="preserve"> dárců krve. Trombocyty jsou  resuspendovány do náhradního roztoku, v konečném produktu je ponecháno 30 % – 40 % plazmy, zbytek objemu tvoří náhradní roztok SSP+. Při výrobě dochází k odstranění většiny leukocytů in line filtrací. </w:t>
      </w:r>
    </w:p>
    <w:p w:rsidR="00C5765E" w:rsidRDefault="00C5765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Při validované leukodepleci jsou filtrované trombocytové koncentráty přijímány jako alternativa CMV negativních trombocytů pro prevenci přenosu CMV.</w:t>
      </w:r>
    </w:p>
    <w:p w:rsidR="00C5765E" w:rsidRDefault="00C5765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</w:p>
    <w:p w:rsidR="00C5765E" w:rsidRDefault="00C5765E">
      <w:pPr>
        <w:tabs>
          <w:tab w:val="left" w:pos="284"/>
          <w:tab w:val="left" w:pos="709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>1 T.U.: více než 40 ml na 60 x 10</w:t>
      </w:r>
      <w:r>
        <w:rPr>
          <w:rFonts w:ascii="Arial" w:hAnsi="Arial"/>
          <w:sz w:val="14"/>
          <w:vertAlign w:val="superscript"/>
        </w:rPr>
        <w:t xml:space="preserve">9  </w:t>
      </w:r>
      <w:r>
        <w:rPr>
          <w:rFonts w:ascii="Arial" w:hAnsi="Arial"/>
          <w:sz w:val="14"/>
        </w:rPr>
        <w:t>trombocytů</w:t>
      </w:r>
    </w:p>
    <w:p w:rsidR="00C5765E" w:rsidRPr="00247495" w:rsidRDefault="00C5765E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 w:rsidRPr="00247495">
        <w:rPr>
          <w:rFonts w:ascii="Arial" w:hAnsi="Arial"/>
          <w:sz w:val="14"/>
        </w:rPr>
        <w:t xml:space="preserve">Celkový objem transfuzního přípravku: </w:t>
      </w:r>
      <w:r>
        <w:rPr>
          <w:rFonts w:ascii="Arial" w:hAnsi="Arial"/>
          <w:sz w:val="14"/>
        </w:rPr>
        <w:t xml:space="preserve">min. </w:t>
      </w:r>
      <w:r w:rsidR="00A26914">
        <w:rPr>
          <w:rFonts w:ascii="Arial" w:hAnsi="Arial"/>
          <w:sz w:val="14"/>
        </w:rPr>
        <w:t>135</w:t>
      </w:r>
      <w:r>
        <w:rPr>
          <w:rFonts w:ascii="Arial" w:hAnsi="Arial"/>
          <w:sz w:val="14"/>
        </w:rPr>
        <w:t xml:space="preserve"> </w:t>
      </w:r>
      <w:r w:rsidRPr="00247495">
        <w:rPr>
          <w:rFonts w:ascii="Arial" w:hAnsi="Arial"/>
          <w:sz w:val="14"/>
        </w:rPr>
        <w:t xml:space="preserve">ml </w:t>
      </w:r>
    </w:p>
    <w:p w:rsidR="00C5765E" w:rsidRPr="005C50CD" w:rsidRDefault="00C5765E">
      <w:pPr>
        <w:tabs>
          <w:tab w:val="left" w:pos="284"/>
        </w:tabs>
        <w:jc w:val="both"/>
        <w:rPr>
          <w:rFonts w:ascii="Arial" w:hAnsi="Arial"/>
          <w:color w:val="FF6600"/>
          <w:sz w:val="14"/>
        </w:rPr>
      </w:pPr>
    </w:p>
    <w:p w:rsidR="00C5765E" w:rsidRDefault="00C5765E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C5765E" w:rsidRDefault="00C5765E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Těžká trombocytopenie s klinicky významným krvácením, přisuzovaným deficitu trombocytů u pacientů, kde je žádoucí podat koncentrát s redukovaným množstvím plazmy, např. u pacientů s protilátkami proti plazmatickým bílkovinám (obzvláště proti IgA), pacienti s alergickými potransfuzními reakcemi na plazmu nebo koncentráty trombocytů, pacienti s paroxysmální noční hemoglobinurií. </w:t>
      </w:r>
    </w:p>
    <w:p w:rsidR="00C5765E" w:rsidRDefault="00C5765E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C5765E" w:rsidRDefault="00C5765E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C5765E" w:rsidRDefault="00C5765E">
      <w:pPr>
        <w:pStyle w:val="Zkladntextodsazen2"/>
        <w:tabs>
          <w:tab w:val="clear" w:pos="284"/>
        </w:tabs>
        <w:ind w:left="0"/>
        <w:jc w:val="both"/>
      </w:pPr>
      <w:r>
        <w:t>Jednoznačné kontraindikace nejsou známy. Podání by se mělo zvážit v případech, kdy zástavy krvácení spojené s výraznější trombocytopenií lze dosáhnout jiným způsobem léčby.</w:t>
      </w:r>
    </w:p>
    <w:p w:rsidR="00C5765E" w:rsidRDefault="00C5765E">
      <w:pPr>
        <w:pStyle w:val="Zkladntextodsazen2"/>
        <w:tabs>
          <w:tab w:val="clear" w:pos="284"/>
        </w:tabs>
        <w:ind w:left="0"/>
        <w:jc w:val="both"/>
      </w:pP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horečka, kopřivka), ale vzácněji než po transfuzi nedeleukotizovaného trombocytového koncentrátu.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Aloimunizace především proti HLA a HPA antigenům. Při použití deleukotizovaných trombocytových koncentrátů je riziko HLA imunizace minimální, pokud jsou ostatní podávané transfuzní přípravky rovněž deleukotizovány.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Riziko infekcí přenosných krví (hepatitidy, HIV, syfilis) je možné bez ohledu na pečlivý výběr dárců          a screeningová vyšetření.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Sepse způsobená náhodnou bakteriální kontaminací.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Potransfuzní purpura.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Přenos jiných patogenů, které se screeningově netestují nebo nebyly dosud rozpoznány.</w:t>
      </w:r>
    </w:p>
    <w:p w:rsidR="00C5765E" w:rsidRDefault="00C5765E">
      <w:pPr>
        <w:rPr>
          <w:rFonts w:ascii="Arial" w:hAnsi="Arial"/>
          <w:sz w:val="14"/>
        </w:rPr>
      </w:pPr>
    </w:p>
    <w:p w:rsidR="00C5765E" w:rsidRDefault="00C5765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C5765E" w:rsidRDefault="00C5765E">
      <w:pPr>
        <w:jc w:val="center"/>
        <w:rPr>
          <w:rFonts w:ascii="Arial" w:hAnsi="Arial"/>
          <w:sz w:val="14"/>
        </w:rPr>
      </w:pPr>
    </w:p>
    <w:p w:rsidR="00C5765E" w:rsidRDefault="00C5765E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Trombocytové koncentráty se podávají AB0 RhD kompatibilní. Jestliže je nutné RhD negativním ženám  </w:t>
      </w:r>
      <w:r w:rsidR="006D72DC">
        <w:rPr>
          <w:rFonts w:ascii="Arial" w:hAnsi="Arial"/>
          <w:sz w:val="14"/>
        </w:rPr>
        <w:t xml:space="preserve">      </w:t>
      </w:r>
      <w:r>
        <w:rPr>
          <w:rFonts w:ascii="Arial" w:hAnsi="Arial"/>
          <w:sz w:val="14"/>
        </w:rPr>
        <w:t xml:space="preserve">ve fertilním věku nebo mladším pacientům  podat trombocyty od RhD pozitivních dárců, mělo by se za těchto okolností uvažovat o  prevenci RhD imunizace podáním specifického imunoglobulinu anti-RhD. 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Před aplikací je nutno zkontrolovat: dokumentaci, číslo a typ transfuzního přípravku, dobu použitelnosti          a krevní skupinu. Vše musí souhlasit s číslem uvedeným na průvodce testech slučitelnosti.</w:t>
      </w:r>
    </w:p>
    <w:p w:rsidR="00C5765E" w:rsidRDefault="00C5765E">
      <w:pPr>
        <w:pStyle w:val="Seznamsodrkami"/>
        <w:numPr>
          <w:ilvl w:val="0"/>
          <w:numId w:val="0"/>
        </w:numPr>
      </w:pPr>
    </w:p>
    <w:p w:rsidR="00C5765E" w:rsidRDefault="00C5765E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C5765E" w:rsidRDefault="00C5765E" w:rsidP="00712782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</w:rPr>
        <w:t>Před vydáním TBSDR se provádí kontrola shody krevní skupiny pacienta a transfuzního přípravku.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</w:t>
      </w:r>
      <w:r w:rsidR="006D72DC">
        <w:rPr>
          <w:rFonts w:ascii="Arial" w:hAnsi="Arial"/>
          <w:color w:val="auto"/>
          <w:sz w:val="14"/>
          <w:lang w:val="cs-CZ"/>
        </w:rPr>
        <w:t xml:space="preserve">    </w:t>
      </w:r>
      <w:r>
        <w:rPr>
          <w:rFonts w:ascii="Arial" w:hAnsi="Arial"/>
          <w:color w:val="auto"/>
          <w:sz w:val="14"/>
          <w:lang w:val="cs-CZ"/>
        </w:rPr>
        <w:t>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C5765E" w:rsidRPr="009B6AE3" w:rsidRDefault="00C5765E" w:rsidP="009B6AE3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9B6AE3">
        <w:rPr>
          <w:rFonts w:ascii="Arial" w:hAnsi="Arial"/>
          <w:color w:val="auto"/>
          <w:sz w:val="14"/>
          <w:szCs w:val="14"/>
          <w:lang w:val="cs-CZ"/>
        </w:rPr>
        <w:t xml:space="preserve">Vyhláška o lidské krvi (č.143/2008 Sb., </w:t>
      </w:r>
      <w:r w:rsidRPr="009B6AE3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9B6AE3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B6AE3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9B6AE3">
        <w:rPr>
          <w:rFonts w:ascii="Arial" w:hAnsi="Arial"/>
          <w:color w:val="auto"/>
          <w:sz w:val="14"/>
          <w:szCs w:val="14"/>
          <w:lang w:val="cs-CZ"/>
        </w:rPr>
        <w:t xml:space="preserve"> 9) z důvodu zajištění hemovigilance (definice viz zákon</w:t>
      </w:r>
      <w:r w:rsidR="006D72DC">
        <w:rPr>
          <w:rFonts w:ascii="Arial" w:hAnsi="Arial"/>
          <w:color w:val="auto"/>
          <w:sz w:val="14"/>
          <w:szCs w:val="14"/>
          <w:lang w:val="cs-CZ"/>
        </w:rPr>
        <w:t xml:space="preserve">    </w:t>
      </w:r>
      <w:r w:rsidRPr="009B6AE3">
        <w:rPr>
          <w:rFonts w:ascii="Arial" w:hAnsi="Arial"/>
          <w:color w:val="auto"/>
          <w:sz w:val="14"/>
          <w:szCs w:val="14"/>
          <w:lang w:val="cs-CZ"/>
        </w:rPr>
        <w:t xml:space="preserve"> o léčivech č.378/2007 Sb., </w:t>
      </w:r>
      <w:r w:rsidRPr="009B6AE3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jedná </w:t>
      </w:r>
      <w:r w:rsidR="006D72DC">
        <w:rPr>
          <w:rFonts w:ascii="Arial" w:hAnsi="Arial" w:cs="Arial"/>
          <w:color w:val="auto"/>
          <w:sz w:val="14"/>
          <w:szCs w:val="14"/>
          <w:lang w:val="cs-CZ"/>
        </w:rPr>
        <w:t xml:space="preserve">          </w:t>
      </w:r>
      <w:r w:rsidRPr="009B6AE3">
        <w:rPr>
          <w:rFonts w:ascii="Arial" w:hAnsi="Arial" w:cs="Arial"/>
          <w:color w:val="auto"/>
          <w:sz w:val="14"/>
          <w:szCs w:val="14"/>
          <w:lang w:val="cs-CZ"/>
        </w:rPr>
        <w:t>o reakci, která je pozorována během transfuze nebo po ni a souvisí s podáním transfuzního přípravku. Pro oznámení závažné nežádoucí rekce nebo podezření na ni se použije vzor oznámení uvedený v příloze č.</w:t>
      </w:r>
      <w:r w:rsidR="006D72DC"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9B6AE3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C5765E" w:rsidRDefault="00C5765E">
      <w:pPr>
        <w:pStyle w:val="Zkladntextodsazen"/>
        <w:jc w:val="both"/>
        <w:rPr>
          <w:rFonts w:ascii="Arial" w:hAnsi="Arial"/>
          <w:color w:val="auto"/>
          <w:sz w:val="16"/>
          <w:lang w:val="cs-CZ"/>
        </w:rPr>
      </w:pPr>
    </w:p>
    <w:p w:rsidR="00C5765E" w:rsidRDefault="00C5765E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C5765E" w:rsidRDefault="00C5765E">
      <w:pPr>
        <w:pStyle w:val="Seznamsodrkami"/>
        <w:numPr>
          <w:ilvl w:val="0"/>
          <w:numId w:val="6"/>
        </w:numPr>
      </w:pPr>
      <w:r>
        <w:t xml:space="preserve">různé typy nesnášenlivosti plazmy. </w:t>
      </w:r>
    </w:p>
    <w:p w:rsidR="00C5765E" w:rsidRDefault="00C5765E">
      <w:pPr>
        <w:pStyle w:val="Seznamsodrkami"/>
        <w:numPr>
          <w:ilvl w:val="0"/>
          <w:numId w:val="0"/>
        </w:numPr>
      </w:pPr>
    </w:p>
    <w:p w:rsidR="00C5765E" w:rsidRDefault="00C5765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C5765E" w:rsidRDefault="00C5765E" w:rsidP="00FD07CC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se uchovávají maximálně 5 dnů při kontrolované teplotě +</w:t>
      </w:r>
      <w:smartTag w:uri="urn:schemas-microsoft-com:office:smarttags" w:element="metricconverter">
        <w:smartTagPr>
          <w:attr w:name="ProductID" w:val="20 ﾰC"/>
        </w:smartTagPr>
        <w:r>
          <w:rPr>
            <w:rFonts w:ascii="Arial" w:hAnsi="Arial"/>
            <w:sz w:val="14"/>
          </w:rPr>
          <w:t>20 °C</w:t>
        </w:r>
      </w:smartTag>
      <w:r>
        <w:rPr>
          <w:rFonts w:ascii="Arial" w:hAnsi="Arial"/>
          <w:sz w:val="14"/>
        </w:rPr>
        <w:t xml:space="preserve"> až +24ºC</w:t>
      </w:r>
      <w:r w:rsidR="00383919">
        <w:rPr>
          <w:rFonts w:ascii="Arial" w:hAnsi="Arial"/>
          <w:sz w:val="14"/>
        </w:rPr>
        <w:t xml:space="preserve"> </w:t>
      </w:r>
      <w:r w:rsidR="00383919" w:rsidRPr="00FA7980">
        <w:rPr>
          <w:rFonts w:ascii="Arial" w:hAnsi="Arial" w:cs="Arial"/>
          <w:sz w:val="14"/>
          <w:szCs w:val="22"/>
        </w:rPr>
        <w:t>(+19,6 °C až +24,4 °C)</w:t>
      </w:r>
      <w:r>
        <w:rPr>
          <w:rFonts w:ascii="Arial" w:hAnsi="Arial"/>
          <w:sz w:val="14"/>
        </w:rPr>
        <w:t xml:space="preserve"> za neustálého promíchávání na validovaných třepačkách. </w:t>
      </w:r>
    </w:p>
    <w:p w:rsidR="00C5765E" w:rsidRDefault="00C5765E" w:rsidP="00FD07CC">
      <w:pPr>
        <w:pStyle w:val="Zkladntext3"/>
        <w:rPr>
          <w:rFonts w:ascii="Arial" w:hAnsi="Arial"/>
          <w:b/>
          <w:i/>
          <w:sz w:val="14"/>
        </w:rPr>
      </w:pPr>
      <w:r>
        <w:rPr>
          <w:rFonts w:ascii="Arial" w:hAnsi="Arial"/>
          <w:sz w:val="14"/>
        </w:rPr>
        <w:t>Míchání trombocytů během uchovávání musí být natolik účinné, aby zaručovalo dostupnost kyslíku a zároveň musí být co nejšetrnější.</w:t>
      </w:r>
    </w:p>
    <w:p w:rsidR="00C5765E" w:rsidRDefault="00C5765E" w:rsidP="00FD07CC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5 dnů</w:t>
      </w:r>
      <w:r w:rsidR="003D28AF">
        <w:rPr>
          <w:rFonts w:ascii="Arial" w:hAnsi="Arial"/>
          <w:b/>
          <w:i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 je uvedena na štítku transfuzního přípravku.</w:t>
      </w:r>
    </w:p>
    <w:p w:rsidR="00C5765E" w:rsidRDefault="00C5765E">
      <w:pPr>
        <w:jc w:val="both"/>
        <w:rPr>
          <w:rFonts w:ascii="Arial" w:hAnsi="Arial"/>
          <w:b/>
          <w:sz w:val="14"/>
          <w:u w:val="single"/>
        </w:rPr>
      </w:pP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C5765E" w:rsidRPr="00247495" w:rsidRDefault="00C5765E">
      <w:pPr>
        <w:jc w:val="both"/>
        <w:rPr>
          <w:rFonts w:ascii="Arial" w:hAnsi="Arial"/>
          <w:b/>
          <w:sz w:val="14"/>
        </w:rPr>
      </w:pPr>
      <w:r w:rsidRPr="00247495">
        <w:rPr>
          <w:rFonts w:ascii="Arial" w:hAnsi="Arial"/>
          <w:b/>
          <w:sz w:val="14"/>
        </w:rPr>
        <w:t xml:space="preserve">Vak obsahuje </w:t>
      </w:r>
      <w:r w:rsidR="006A0CE1">
        <w:rPr>
          <w:rFonts w:ascii="Arial" w:hAnsi="Arial"/>
          <w:b/>
          <w:sz w:val="14"/>
        </w:rPr>
        <w:t>4</w:t>
      </w:r>
      <w:r w:rsidRPr="00247495">
        <w:rPr>
          <w:rFonts w:ascii="Arial" w:hAnsi="Arial"/>
          <w:b/>
          <w:sz w:val="14"/>
        </w:rPr>
        <w:t xml:space="preserve"> T</w:t>
      </w:r>
      <w:r>
        <w:rPr>
          <w:rFonts w:ascii="Arial" w:hAnsi="Arial"/>
          <w:b/>
          <w:sz w:val="14"/>
        </w:rPr>
        <w:t>.</w:t>
      </w:r>
      <w:r w:rsidRPr="00247495">
        <w:rPr>
          <w:rFonts w:ascii="Arial" w:hAnsi="Arial"/>
          <w:b/>
          <w:sz w:val="14"/>
        </w:rPr>
        <w:t>U</w:t>
      </w:r>
      <w:r>
        <w:rPr>
          <w:rFonts w:ascii="Arial" w:hAnsi="Arial"/>
          <w:b/>
          <w:sz w:val="14"/>
        </w:rPr>
        <w:t>.</w:t>
      </w:r>
      <w:r w:rsidR="006A0CE1">
        <w:rPr>
          <w:rFonts w:ascii="Arial" w:hAnsi="Arial"/>
          <w:b/>
          <w:sz w:val="14"/>
        </w:rPr>
        <w:t xml:space="preserve"> trombocytů od 4</w:t>
      </w:r>
      <w:r w:rsidRPr="00247495">
        <w:rPr>
          <w:rFonts w:ascii="Arial" w:hAnsi="Arial"/>
          <w:b/>
          <w:sz w:val="14"/>
        </w:rPr>
        <w:t xml:space="preserve"> dárců plné krve odpovídající 1 terapeutické dávce trombocytů                    (</w:t>
      </w:r>
      <w:r w:rsidRPr="00247495">
        <w:rPr>
          <w:b/>
          <w:sz w:val="14"/>
        </w:rPr>
        <w:t>&gt;</w:t>
      </w:r>
      <w:r w:rsidRPr="00247495">
        <w:rPr>
          <w:rFonts w:ascii="Arial" w:hAnsi="Arial"/>
          <w:b/>
          <w:sz w:val="14"/>
        </w:rPr>
        <w:t>200 x</w:t>
      </w:r>
      <w:r>
        <w:rPr>
          <w:rFonts w:ascii="Arial" w:hAnsi="Arial"/>
          <w:b/>
          <w:sz w:val="14"/>
        </w:rPr>
        <w:t xml:space="preserve"> </w:t>
      </w:r>
      <w:r w:rsidRPr="00247495">
        <w:rPr>
          <w:rFonts w:ascii="Arial" w:hAnsi="Arial"/>
          <w:b/>
          <w:sz w:val="14"/>
        </w:rPr>
        <w:t>10</w:t>
      </w:r>
      <w:r w:rsidRPr="00247495">
        <w:rPr>
          <w:rFonts w:ascii="Arial" w:hAnsi="Arial"/>
          <w:b/>
          <w:sz w:val="14"/>
          <w:vertAlign w:val="superscript"/>
        </w:rPr>
        <w:t>9</w:t>
      </w:r>
      <w:r w:rsidRPr="00247495">
        <w:rPr>
          <w:rFonts w:ascii="Arial" w:hAnsi="Arial"/>
          <w:b/>
          <w:sz w:val="14"/>
        </w:rPr>
        <w:t>).</w:t>
      </w:r>
    </w:p>
    <w:p w:rsidR="00C5765E" w:rsidRDefault="00C5765E">
      <w:pPr>
        <w:jc w:val="both"/>
        <w:rPr>
          <w:rFonts w:ascii="Arial" w:hAnsi="Arial"/>
          <w:b/>
          <w:i/>
          <w:sz w:val="14"/>
        </w:rPr>
      </w:pPr>
    </w:p>
    <w:p w:rsidR="00C5765E" w:rsidRDefault="00C5765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C5765E" w:rsidRPr="00383919" w:rsidRDefault="00383919">
      <w:pPr>
        <w:tabs>
          <w:tab w:val="left" w:pos="284"/>
        </w:tabs>
        <w:jc w:val="both"/>
        <w:rPr>
          <w:rFonts w:ascii="Arial" w:hAnsi="Arial"/>
          <w:sz w:val="14"/>
        </w:rPr>
      </w:pPr>
      <w:r w:rsidRPr="00383919">
        <w:rPr>
          <w:rFonts w:ascii="Arial" w:hAnsi="Arial" w:cs="Arial"/>
          <w:sz w:val="14"/>
        </w:rPr>
        <w:t xml:space="preserve">Termoboxy  pro  přepravu  trombocytů   by  měly  být   před  jejich  použitím  otevřeny  po  dobu   30 minut při pokojové teplotě. Během přepravy by se měla teplota trombocytových koncentrátů udržovat co nejblíže k doporučované teplotě, tj. +20 ºC až +24 </w:t>
      </w:r>
      <w:r w:rsidRPr="00383919">
        <w:rPr>
          <w:rFonts w:ascii="Arial" w:hAnsi="Arial" w:cs="Arial"/>
          <w:sz w:val="14"/>
          <w:szCs w:val="22"/>
        </w:rPr>
        <w:t>ºC (+19,6 °C až +24,4 °C).</w:t>
      </w:r>
      <w:r w:rsidRPr="00383919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pokud se bezprostředně nepoužijí k transfuzi. Před použitím by se měly dále míchat. Po doručení na oddělení by se měly neprodleně aplikovat</w:t>
      </w:r>
      <w:r>
        <w:rPr>
          <w:rFonts w:ascii="Arial" w:hAnsi="Arial" w:cs="Arial"/>
          <w:sz w:val="14"/>
        </w:rPr>
        <w:t>.</w:t>
      </w:r>
    </w:p>
    <w:p w:rsidR="00C5765E" w:rsidRPr="00383919" w:rsidRDefault="00C5765E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6D72DC" w:rsidRDefault="00C5765E" w:rsidP="005C50CD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  <w:r w:rsidR="00383919">
        <w:rPr>
          <w:rFonts w:ascii="Arial" w:hAnsi="Arial"/>
          <w:sz w:val="14"/>
        </w:rPr>
        <w:t xml:space="preserve"> </w:t>
      </w:r>
    </w:p>
    <w:p w:rsidR="00C5765E" w:rsidRDefault="00675123" w:rsidP="005C50CD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Duben</w:t>
      </w:r>
      <w:r w:rsidR="00383919">
        <w:rPr>
          <w:rFonts w:ascii="Arial" w:hAnsi="Arial"/>
          <w:sz w:val="14"/>
        </w:rPr>
        <w:t xml:space="preserve"> </w:t>
      </w:r>
      <w:r w:rsidR="00C5765E">
        <w:rPr>
          <w:rFonts w:ascii="Arial" w:hAnsi="Arial"/>
          <w:sz w:val="14"/>
        </w:rPr>
        <w:t>201</w:t>
      </w:r>
      <w:r>
        <w:rPr>
          <w:rFonts w:ascii="Arial" w:hAnsi="Arial"/>
          <w:sz w:val="14"/>
        </w:rPr>
        <w:t>9</w:t>
      </w:r>
      <w:r w:rsidR="00383919">
        <w:rPr>
          <w:rFonts w:ascii="Arial" w:hAnsi="Arial"/>
          <w:sz w:val="14"/>
        </w:rPr>
        <w:t xml:space="preserve"> – verze č. 0</w:t>
      </w:r>
      <w:r>
        <w:rPr>
          <w:rFonts w:ascii="Arial" w:hAnsi="Arial"/>
          <w:sz w:val="14"/>
        </w:rPr>
        <w:t>6</w:t>
      </w:r>
    </w:p>
    <w:sectPr w:rsidR="00C5765E" w:rsidSect="00675123">
      <w:footerReference w:type="even" r:id="rId8"/>
      <w:footerReference w:type="default" r:id="rId9"/>
      <w:pgSz w:w="8505" w:h="11907"/>
      <w:pgMar w:top="851" w:right="851" w:bottom="709" w:left="851" w:header="113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FC" w:rsidRDefault="00F562FC">
      <w:r>
        <w:separator/>
      </w:r>
    </w:p>
  </w:endnote>
  <w:endnote w:type="continuationSeparator" w:id="0">
    <w:p w:rsidR="00F562FC" w:rsidRDefault="00F5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89" w:rsidRDefault="0066578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65789" w:rsidRDefault="0066578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89" w:rsidRDefault="00665789">
    <w:pPr>
      <w:pStyle w:val="Zpat"/>
      <w:framePr w:wrap="around" w:vAnchor="text" w:hAnchor="margin" w:xAlign="right" w:y="1"/>
      <w:rPr>
        <w:rStyle w:val="slostrnky"/>
      </w:rPr>
    </w:pPr>
  </w:p>
  <w:p w:rsidR="00665789" w:rsidRDefault="00665789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4D7C28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4D7C28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FC" w:rsidRDefault="00F562FC">
      <w:r>
        <w:separator/>
      </w:r>
    </w:p>
  </w:footnote>
  <w:footnote w:type="continuationSeparator" w:id="0">
    <w:p w:rsidR="00F562FC" w:rsidRDefault="00F5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  <w:num w:numId="16">
    <w:abstractNumId w:val="11"/>
  </w:num>
  <w:num w:numId="17">
    <w:abstractNumId w:val="9"/>
  </w:num>
  <w:num w:numId="18">
    <w:abstractNumId w:val="8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F6C"/>
    <w:rsid w:val="00002903"/>
    <w:rsid w:val="000157F2"/>
    <w:rsid w:val="00016F3F"/>
    <w:rsid w:val="00040A45"/>
    <w:rsid w:val="000622CE"/>
    <w:rsid w:val="000C1284"/>
    <w:rsid w:val="00115D78"/>
    <w:rsid w:val="001B0D65"/>
    <w:rsid w:val="001D5A48"/>
    <w:rsid w:val="00247495"/>
    <w:rsid w:val="0026001F"/>
    <w:rsid w:val="002A29D7"/>
    <w:rsid w:val="002A4D3F"/>
    <w:rsid w:val="002B3423"/>
    <w:rsid w:val="002F0954"/>
    <w:rsid w:val="00325759"/>
    <w:rsid w:val="003376F2"/>
    <w:rsid w:val="00364A36"/>
    <w:rsid w:val="00383919"/>
    <w:rsid w:val="00385740"/>
    <w:rsid w:val="00397B92"/>
    <w:rsid w:val="003A2C15"/>
    <w:rsid w:val="003B4863"/>
    <w:rsid w:val="003D28AF"/>
    <w:rsid w:val="004D7C28"/>
    <w:rsid w:val="00553E58"/>
    <w:rsid w:val="00573873"/>
    <w:rsid w:val="00582878"/>
    <w:rsid w:val="005A1B9F"/>
    <w:rsid w:val="005A7ADF"/>
    <w:rsid w:val="005C351E"/>
    <w:rsid w:val="005C50CD"/>
    <w:rsid w:val="005E361A"/>
    <w:rsid w:val="00632236"/>
    <w:rsid w:val="00665789"/>
    <w:rsid w:val="00673ED2"/>
    <w:rsid w:val="00675123"/>
    <w:rsid w:val="006A0CE1"/>
    <w:rsid w:val="006D72DC"/>
    <w:rsid w:val="006E4FD6"/>
    <w:rsid w:val="00707B23"/>
    <w:rsid w:val="00712782"/>
    <w:rsid w:val="007416A6"/>
    <w:rsid w:val="007B007C"/>
    <w:rsid w:val="007C5FE6"/>
    <w:rsid w:val="007E64DE"/>
    <w:rsid w:val="00813391"/>
    <w:rsid w:val="00883BC2"/>
    <w:rsid w:val="0088551F"/>
    <w:rsid w:val="00897501"/>
    <w:rsid w:val="00901097"/>
    <w:rsid w:val="0093680C"/>
    <w:rsid w:val="009A0667"/>
    <w:rsid w:val="009B6AE3"/>
    <w:rsid w:val="009C7C7F"/>
    <w:rsid w:val="00A110FB"/>
    <w:rsid w:val="00A26914"/>
    <w:rsid w:val="00A44801"/>
    <w:rsid w:val="00A91BCF"/>
    <w:rsid w:val="00AE1E70"/>
    <w:rsid w:val="00B2788F"/>
    <w:rsid w:val="00B43E6E"/>
    <w:rsid w:val="00B45B11"/>
    <w:rsid w:val="00B46350"/>
    <w:rsid w:val="00B56CDE"/>
    <w:rsid w:val="00BC2E0E"/>
    <w:rsid w:val="00BE32F6"/>
    <w:rsid w:val="00BF1ADF"/>
    <w:rsid w:val="00C0020B"/>
    <w:rsid w:val="00C164E0"/>
    <w:rsid w:val="00C5765E"/>
    <w:rsid w:val="00CF6058"/>
    <w:rsid w:val="00D46E68"/>
    <w:rsid w:val="00D63361"/>
    <w:rsid w:val="00D97D26"/>
    <w:rsid w:val="00DD4CB8"/>
    <w:rsid w:val="00DD7D2E"/>
    <w:rsid w:val="00E36A33"/>
    <w:rsid w:val="00E41C40"/>
    <w:rsid w:val="00E544E5"/>
    <w:rsid w:val="00EA0655"/>
    <w:rsid w:val="00F07B02"/>
    <w:rsid w:val="00F1212A"/>
    <w:rsid w:val="00F16F53"/>
    <w:rsid w:val="00F235A7"/>
    <w:rsid w:val="00F33C6F"/>
    <w:rsid w:val="00F372F9"/>
    <w:rsid w:val="00F562FC"/>
    <w:rsid w:val="00FA3F6C"/>
    <w:rsid w:val="00FB6001"/>
    <w:rsid w:val="00FC506A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094046-60C3-4C14-883B-1C4B139B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FD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FD6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FD6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6E4FD6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6E4FD6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448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448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44801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44801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E4FD6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44801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6E4FD6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6E4FD6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44801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6E4FD6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A4480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6E4FD6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4480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6E4FD6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44801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6E4F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44801"/>
    <w:rPr>
      <w:rFonts w:cs="Times New Roman"/>
    </w:rPr>
  </w:style>
  <w:style w:type="character" w:styleId="slostrnky">
    <w:name w:val="page number"/>
    <w:basedOn w:val="Standardnpsmoodstavce"/>
    <w:uiPriority w:val="99"/>
    <w:rsid w:val="006E4FD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6E4FD6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44801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6E4F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44801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E4FD6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4480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40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480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transfúzním přípravku – ČTĚTE POZORNĚ</vt:lpstr>
    </vt:vector>
  </TitlesOfParts>
  <Company>FN Olomouc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– ČTĚTE POZORNĚ</dc:title>
  <dc:creator>FTO</dc:creator>
  <cp:lastModifiedBy>Hrabálek Petr, Ing.</cp:lastModifiedBy>
  <cp:revision>10</cp:revision>
  <cp:lastPrinted>2020-04-16T09:23:00Z</cp:lastPrinted>
  <dcterms:created xsi:type="dcterms:W3CDTF">2019-03-28T10:56:00Z</dcterms:created>
  <dcterms:modified xsi:type="dcterms:W3CDTF">2020-04-16T09:25:00Z</dcterms:modified>
</cp:coreProperties>
</file>