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…………………………………………..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…………….</w:t>
          </w:r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="00084ED2">
        <w:rPr>
          <w:rFonts w:cs="Calibri"/>
          <w:sz w:val="20"/>
        </w:rPr>
        <w:t xml:space="preserve">                                        </w:t>
      </w:r>
      <w:r w:rsidR="001F62B7" w:rsidRPr="001F62B7">
        <w:rPr>
          <w:rFonts w:asciiTheme="minorHAnsi" w:hAnsiTheme="minorHAnsi" w:cstheme="minorHAnsi"/>
          <w:b/>
          <w:sz w:val="20"/>
        </w:rPr>
        <w:t>„</w:t>
      </w:r>
      <w:r w:rsidR="00AB33FA" w:rsidRPr="00AB33FA">
        <w:rPr>
          <w:rFonts w:asciiTheme="minorHAnsi" w:hAnsiTheme="minorHAnsi" w:cstheme="minorHAnsi"/>
          <w:b/>
          <w:sz w:val="20"/>
        </w:rPr>
        <w:t>Sonda ablační Cryoflex</w:t>
      </w:r>
      <w:r w:rsidR="001F62B7" w:rsidRPr="001F62B7">
        <w:rPr>
          <w:rFonts w:asciiTheme="minorHAnsi" w:hAnsiTheme="minorHAnsi" w:cstheme="minorHAnsi"/>
          <w:b/>
          <w:sz w:val="20"/>
        </w:rPr>
        <w:t>“</w:t>
      </w:r>
      <w:r w:rsidR="000D16E0">
        <w:rPr>
          <w:rFonts w:asciiTheme="minorHAnsi" w:hAnsiTheme="minorHAnsi" w:cstheme="minorHAnsi"/>
          <w:b/>
          <w:sz w:val="20"/>
        </w:rPr>
        <w:t xml:space="preserve">, </w:t>
      </w:r>
      <w:r w:rsidR="000D16E0">
        <w:rPr>
          <w:rFonts w:asciiTheme="minorHAnsi" w:hAnsiTheme="minorHAnsi" w:cstheme="minorHAnsi"/>
          <w:sz w:val="20"/>
        </w:rPr>
        <w:t>interní evidenční číslo</w:t>
      </w:r>
      <w:r w:rsidR="001549F2">
        <w:rPr>
          <w:rFonts w:asciiTheme="minorHAnsi" w:hAnsiTheme="minorHAnsi" w:cstheme="minorHAnsi"/>
          <w:b/>
          <w:sz w:val="20"/>
        </w:rPr>
        <w:t xml:space="preserve"> </w:t>
      </w:r>
      <w:r w:rsidR="001F62B7" w:rsidRPr="001F62B7">
        <w:rPr>
          <w:rFonts w:asciiTheme="minorHAnsi" w:hAnsiTheme="minorHAnsi" w:cstheme="minorHAnsi"/>
          <w:b/>
          <w:sz w:val="20"/>
        </w:rPr>
        <w:t>VZ-202</w:t>
      </w:r>
      <w:r w:rsidR="00AB33FA">
        <w:rPr>
          <w:rFonts w:asciiTheme="minorHAnsi" w:hAnsiTheme="minorHAnsi" w:cstheme="minorHAnsi"/>
          <w:b/>
          <w:sz w:val="20"/>
        </w:rPr>
        <w:t>1-000120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1" w:name="_Ref167689330"/>
      <w:bookmarkEnd w:id="0"/>
    </w:p>
    <w:bookmarkEnd w:id="1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AF5CCF" w:rsidRDefault="00AB33FA" w:rsidP="001F54F7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Konsignační sklad </w:t>
      </w:r>
      <w:r w:rsidR="00AB7CC7" w:rsidRPr="00AB33FA">
        <w:rPr>
          <w:rFonts w:ascii="Calibri" w:hAnsi="Calibri" w:cs="Calibri"/>
          <w:sz w:val="20"/>
          <w:szCs w:val="20"/>
        </w:rPr>
        <w:t>se zřizuje</w:t>
      </w:r>
      <w:r w:rsidR="006C3940" w:rsidRPr="00AB33FA">
        <w:rPr>
          <w:rFonts w:ascii="Calibri" w:hAnsi="Calibri" w:cs="Calibri"/>
          <w:sz w:val="20"/>
          <w:szCs w:val="20"/>
        </w:rPr>
        <w:t xml:space="preserve"> na </w:t>
      </w:r>
      <w:r w:rsidR="00AB7CC7" w:rsidRPr="00AB33FA">
        <w:rPr>
          <w:rFonts w:ascii="Calibri" w:hAnsi="Calibri" w:cs="Calibri"/>
          <w:sz w:val="20"/>
          <w:szCs w:val="20"/>
        </w:rPr>
        <w:t>pracovišti</w:t>
      </w:r>
      <w:r w:rsidR="006C3940" w:rsidRPr="00AB33FA">
        <w:rPr>
          <w:rFonts w:ascii="Calibri" w:hAnsi="Calibri" w:cs="Calibri"/>
          <w:sz w:val="20"/>
          <w:szCs w:val="20"/>
        </w:rPr>
        <w:t xml:space="preserve"> </w:t>
      </w:r>
      <w:r w:rsidRPr="00AB33FA">
        <w:rPr>
          <w:rFonts w:ascii="Calibri" w:hAnsi="Calibri" w:cs="Calibri"/>
          <w:sz w:val="20"/>
          <w:szCs w:val="20"/>
        </w:rPr>
        <w:t xml:space="preserve">Kardiochirugické kliniky </w:t>
      </w:r>
      <w:r w:rsidR="006C3940" w:rsidRPr="00AB33FA">
        <w:rPr>
          <w:rFonts w:ascii="Calibri" w:hAnsi="Calibri" w:cs="Calibri"/>
          <w:sz w:val="20"/>
          <w:szCs w:val="20"/>
        </w:rPr>
        <w:t>Fakultní nemocnice Olomouc,</w:t>
      </w:r>
      <w:r w:rsidR="00FE0D58" w:rsidRPr="00AB33F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I. P. Pavlova 185/6 v Olomouci.</w:t>
      </w:r>
    </w:p>
    <w:p w:rsidR="00AB33FA" w:rsidRPr="00AB33FA" w:rsidRDefault="00AB33FA" w:rsidP="001F54F7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DA2535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r w:rsidR="00DA2535" w:rsidRPr="00DA2535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="00DA2535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="00DA2535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DA2535" w:rsidRDefault="00DA2535" w:rsidP="00DA2535">
      <w:pPr>
        <w:pStyle w:val="Odstavecseseznamem"/>
        <w:rPr>
          <w:rFonts w:cs="Calibri"/>
          <w:sz w:val="20"/>
          <w:szCs w:val="20"/>
        </w:rPr>
      </w:pPr>
    </w:p>
    <w:p w:rsidR="00B3394A" w:rsidRPr="00AB33FA" w:rsidRDefault="00B3394A" w:rsidP="00DA2535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AB33FA">
        <w:rPr>
          <w:rFonts w:ascii="Calibri" w:hAnsi="Calibri" w:cs="Calibri"/>
          <w:sz w:val="20"/>
          <w:szCs w:val="20"/>
        </w:rPr>
        <w:t>Kons</w:t>
      </w:r>
      <w:r w:rsidR="00AB33FA" w:rsidRPr="00AB33FA">
        <w:rPr>
          <w:rFonts w:ascii="Calibri" w:hAnsi="Calibri" w:cs="Calibri"/>
          <w:sz w:val="20"/>
          <w:szCs w:val="20"/>
        </w:rPr>
        <w:t xml:space="preserve">ignatář souhlasí s tím, aby paní </w:t>
      </w:r>
      <w:r w:rsidR="00B96721" w:rsidRPr="00AB33FA">
        <w:rPr>
          <w:rFonts w:ascii="Calibri" w:hAnsi="Calibri" w:cs="Calibri"/>
          <w:sz w:val="20"/>
          <w:szCs w:val="20"/>
        </w:rPr>
        <w:t xml:space="preserve">Bc. </w:t>
      </w:r>
      <w:r w:rsidR="00AB33FA" w:rsidRPr="00AB33FA">
        <w:rPr>
          <w:rFonts w:ascii="Calibri" w:hAnsi="Calibri" w:cs="Calibri"/>
          <w:sz w:val="20"/>
          <w:szCs w:val="20"/>
        </w:rPr>
        <w:t xml:space="preserve">Jana Grulichová </w:t>
      </w:r>
      <w:r w:rsidRPr="00AB33FA">
        <w:rPr>
          <w:rFonts w:ascii="Calibri" w:hAnsi="Calibri" w:cs="Calibri"/>
          <w:sz w:val="20"/>
          <w:szCs w:val="20"/>
        </w:rPr>
        <w:t>byl</w:t>
      </w:r>
      <w:r w:rsidR="00AB33FA" w:rsidRPr="00AB33FA">
        <w:rPr>
          <w:rFonts w:ascii="Calibri" w:hAnsi="Calibri" w:cs="Calibri"/>
          <w:sz w:val="20"/>
          <w:szCs w:val="20"/>
        </w:rPr>
        <w:t>a</w:t>
      </w:r>
      <w:r w:rsidRPr="00AB33FA">
        <w:rPr>
          <w:rFonts w:ascii="Calibri" w:hAnsi="Calibri" w:cs="Calibri"/>
          <w:sz w:val="20"/>
          <w:szCs w:val="20"/>
        </w:rPr>
        <w:t xml:space="preserve"> provozovatelem konsignačního skladu</w:t>
      </w:r>
      <w:r w:rsidR="00AB33FA" w:rsidRPr="00AB33FA">
        <w:rPr>
          <w:rFonts w:ascii="Calibri" w:hAnsi="Calibri" w:cs="Calibri"/>
          <w:sz w:val="20"/>
          <w:szCs w:val="20"/>
        </w:rPr>
        <w:t xml:space="preserve"> ev. č.</w:t>
      </w:r>
      <w:r w:rsidR="00DA2535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653446291"/>
          <w:placeholder>
            <w:docPart w:val="DefaultPlaceholder_1081868574"/>
          </w:placeholder>
          <w:text/>
        </w:sdtPr>
        <w:sdtEndPr/>
        <w:sdtContent>
          <w:r w:rsidR="00AB33FA" w:rsidRPr="00AB33FA">
            <w:rPr>
              <w:rFonts w:ascii="Calibri" w:hAnsi="Calibri" w:cs="Calibri"/>
              <w:sz w:val="20"/>
              <w:szCs w:val="20"/>
            </w:rPr>
            <w:t xml:space="preserve"> ……..</w:t>
          </w:r>
        </w:sdtContent>
      </w:sdt>
      <w:r w:rsidR="00AB33FA" w:rsidRPr="00AB33FA">
        <w:rPr>
          <w:rFonts w:ascii="Calibri" w:hAnsi="Calibri" w:cs="Calibri"/>
          <w:sz w:val="20"/>
          <w:szCs w:val="20"/>
        </w:rPr>
        <w:t xml:space="preserve">, </w:t>
      </w:r>
      <w:r w:rsidR="00AB33FA">
        <w:rPr>
          <w:rFonts w:ascii="Calibri" w:hAnsi="Calibri" w:cs="Calibri"/>
          <w:sz w:val="20"/>
          <w:szCs w:val="20"/>
        </w:rPr>
        <w:t>kontakt email: jana.grulichov</w:t>
      </w:r>
      <w:r w:rsidR="00AB33FA" w:rsidRPr="00AB33FA">
        <w:rPr>
          <w:rFonts w:ascii="Calibri" w:hAnsi="Calibri" w:cs="Calibri"/>
          <w:sz w:val="20"/>
          <w:szCs w:val="20"/>
        </w:rPr>
        <w:t>a</w:t>
      </w:r>
      <w:hyperlink r:id="rId8" w:history="1">
        <w:r w:rsidR="00AB33FA" w:rsidRPr="00AB33FA">
          <w:rPr>
            <w:rStyle w:val="Hypertextovodkaz"/>
            <w:rFonts w:ascii="Segoe UI" w:hAnsi="Segoe UI" w:cs="Segoe UI"/>
            <w:sz w:val="19"/>
            <w:szCs w:val="19"/>
            <w:u w:val="none"/>
          </w:rPr>
          <w:t>@fnol.cz</w:t>
        </w:r>
      </w:hyperlink>
      <w:r w:rsidR="00AB33FA" w:rsidRPr="00AB33FA">
        <w:rPr>
          <w:rStyle w:val="Hypertextovodkaz"/>
          <w:rFonts w:ascii="Segoe UI" w:hAnsi="Segoe UI" w:cs="Segoe UI"/>
          <w:sz w:val="19"/>
          <w:szCs w:val="19"/>
          <w:u w:val="none"/>
        </w:rPr>
        <w:t>, t</w:t>
      </w:r>
      <w:r w:rsidRPr="00AB33FA">
        <w:rPr>
          <w:rFonts w:ascii="Calibri" w:hAnsi="Calibri" w:cs="Calibri"/>
          <w:sz w:val="20"/>
          <w:szCs w:val="20"/>
        </w:rPr>
        <w:t>el:</w:t>
      </w:r>
      <w:r w:rsidR="00B96721" w:rsidRPr="00AB33FA">
        <w:rPr>
          <w:rFonts w:ascii="Calibri" w:hAnsi="Calibri" w:cs="Calibri"/>
          <w:sz w:val="20"/>
          <w:szCs w:val="20"/>
        </w:rPr>
        <w:t xml:space="preserve"> 588 44</w:t>
      </w:r>
      <w:r w:rsidR="00AB33FA">
        <w:rPr>
          <w:rFonts w:ascii="Calibri" w:hAnsi="Calibri" w:cs="Calibri"/>
          <w:sz w:val="20"/>
          <w:szCs w:val="20"/>
        </w:rPr>
        <w:t xml:space="preserve"> 2912.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DA2535" w:rsidRPr="00920F39" w:rsidRDefault="00DA2535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lastRenderedPageBreak/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lastRenderedPageBreak/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DA2535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DA2535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DA2535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DA2535">
        <w:rPr>
          <w:rFonts w:ascii="Calibri" w:hAnsi="Calibri" w:cs="Calibri"/>
          <w:sz w:val="20"/>
          <w:szCs w:val="20"/>
        </w:rPr>
        <w:t xml:space="preserve"> </w:t>
      </w:r>
      <w:r w:rsidR="006C3940" w:rsidRPr="00DA2535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DA2535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DA2535">
        <w:rPr>
          <w:rFonts w:ascii="Calibri" w:hAnsi="Calibri" w:cs="Calibri"/>
          <w:sz w:val="20"/>
          <w:szCs w:val="20"/>
        </w:rPr>
        <w:t xml:space="preserve"> </w:t>
      </w: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DA2535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DA2535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  <w:t>…………………………………………………..</w:t>
      </w:r>
    </w:p>
    <w:p w:rsidR="001F62B7" w:rsidRPr="00DA2535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DA2535">
        <w:rPr>
          <w:rFonts w:ascii="Calibri" w:hAnsi="Calibri" w:cs="Calibri"/>
          <w:sz w:val="20"/>
          <w:szCs w:val="20"/>
        </w:rPr>
        <w:t>konsignatář</w:t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r w:rsidR="006C3940" w:rsidRPr="00DA2535">
        <w:rPr>
          <w:rFonts w:ascii="Calibri" w:hAnsi="Calibri" w:cs="Calibri"/>
          <w:sz w:val="20"/>
          <w:szCs w:val="20"/>
        </w:rPr>
        <w:tab/>
      </w:r>
      <w:r w:rsidR="006C3940"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DA2535">
        <w:rPr>
          <w:rFonts w:ascii="Calibri" w:hAnsi="Calibri" w:cs="Calibri"/>
          <w:sz w:val="20"/>
          <w:szCs w:val="20"/>
        </w:rPr>
        <w:t>Fakultní nemocnice Olomouc</w:t>
      </w:r>
      <w:r w:rsidRPr="00DA2535">
        <w:rPr>
          <w:rFonts w:ascii="Calibri" w:hAnsi="Calibri" w:cs="Calibri"/>
          <w:sz w:val="20"/>
          <w:szCs w:val="20"/>
        </w:rPr>
        <w:tab/>
      </w:r>
      <w:r w:rsidR="001F62B7" w:rsidRPr="00DA2535">
        <w:rPr>
          <w:rFonts w:ascii="Calibri" w:hAnsi="Calibri" w:cs="Calibri"/>
          <w:sz w:val="20"/>
          <w:szCs w:val="20"/>
        </w:rPr>
        <w:tab/>
      </w:r>
      <w:r w:rsidRPr="00DA2535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DA2535">
            <w:rPr>
              <w:rFonts w:ascii="Calibri" w:hAnsi="Calibri" w:cs="Calibri"/>
              <w:sz w:val="20"/>
              <w:szCs w:val="20"/>
            </w:rPr>
            <w:t>………………………………………</w:t>
          </w:r>
          <w:bookmarkStart w:id="2" w:name="_GoBack"/>
          <w:bookmarkEnd w:id="2"/>
          <w:r w:rsidRPr="00DA2535">
            <w:rPr>
              <w:rFonts w:ascii="Calibri" w:hAnsi="Calibri" w:cs="Calibri"/>
              <w:sz w:val="20"/>
              <w:szCs w:val="20"/>
            </w:rPr>
            <w:t>…………..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0E36C9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89058D">
      <w:rPr>
        <w:rFonts w:ascii="Calibri" w:hAnsi="Calibri"/>
        <w:noProof/>
        <w:sz w:val="22"/>
        <w:szCs w:val="22"/>
      </w:rPr>
      <w:t>4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9wZMQvlIrLpEBUihCyuYP0182XO22p2MgVc3qWsMlzwHzmLMur2QO+/Vpi7nNRi+Akvy6MOGnq1nvdvfu4RlA==" w:salt="KcseMfsGqGZ5bFs4N5T8Rw==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F3D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E16AF"/>
    <w:rsid w:val="001F62B7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92483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058D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33FA"/>
    <w:rsid w:val="00AB7CC7"/>
    <w:rsid w:val="00AC4171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B09D7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87B29"/>
    <w:rsid w:val="00DA2535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0442E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5:docId w15:val="{27C66D64-1056-4E0D-9914-F176273D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2D98A5-3F7B-416B-8CC9-D98A52929B82}"/>
      </w:docPartPr>
      <w:docPartBody>
        <w:p w:rsidR="00C51CAC" w:rsidRDefault="000A022F">
          <w:r w:rsidRPr="004E69B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4E5"/>
    <w:rsid w:val="0003377C"/>
    <w:rsid w:val="000436B4"/>
    <w:rsid w:val="000A022F"/>
    <w:rsid w:val="000A52DE"/>
    <w:rsid w:val="000C0EA2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4780D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C23C9D"/>
    <w:rsid w:val="00C51CAC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022F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9019-883A-463C-AA65-54D9775C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1884</Words>
  <Characters>11117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53</cp:revision>
  <cp:lastPrinted>2020-06-17T05:27:00Z</cp:lastPrinted>
  <dcterms:created xsi:type="dcterms:W3CDTF">2018-04-05T08:10:00Z</dcterms:created>
  <dcterms:modified xsi:type="dcterms:W3CDTF">2021-02-15T12:28:00Z</dcterms:modified>
</cp:coreProperties>
</file>