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</w:t>
          </w:r>
          <w:proofErr w:type="gramStart"/>
          <w:r w:rsidRPr="00852100">
            <w:rPr>
              <w:rFonts w:ascii="Calibri Light" w:hAnsi="Calibri Light"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842E70">
        <w:rPr>
          <w:rFonts w:ascii="Calibri Light" w:hAnsi="Calibri Light" w:cs="Calibri"/>
          <w:b/>
          <w:bCs/>
          <w:iCs/>
          <w:sz w:val="21"/>
          <w:szCs w:val="21"/>
        </w:rPr>
        <w:t>Motodlahy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VZ-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842E70">
        <w:rPr>
          <w:rFonts w:ascii="Calibri Light" w:hAnsi="Calibri Light" w:cstheme="minorHAnsi"/>
          <w:b/>
          <w:sz w:val="21"/>
          <w:szCs w:val="21"/>
        </w:rPr>
        <w:t>21-000148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§ 61 zákona č. 268/2014 Sb.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§61 zákona č.268/2014 Sb. dle článku III. </w:t>
      </w:r>
      <w:proofErr w:type="gramStart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842E70">
        <w:rPr>
          <w:rFonts w:ascii="Calibri Light" w:hAnsi="Calibri Light"/>
          <w:b/>
          <w:sz w:val="21"/>
          <w:szCs w:val="21"/>
        </w:rPr>
        <w:t>0148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EvwMbJL1wgik/SRWKSW2+X8fYNDyvl+3F075Cow9sbwWKUPWZ83YRvRuB2LwlR9VXwzc21Cb0re6oChv5ZKqw==" w:salt="1EC0UyYioh4cj/zdmq8p/Q=="/>
  <w:defaultTabStop w:val="708"/>
  <w:hyphenationZone w:val="425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F2138"/>
    <w:rsid w:val="002005E2"/>
    <w:rsid w:val="00212C19"/>
    <w:rsid w:val="002207B6"/>
    <w:rsid w:val="002362B4"/>
    <w:rsid w:val="00245C8B"/>
    <w:rsid w:val="0025563F"/>
    <w:rsid w:val="00273F94"/>
    <w:rsid w:val="00287BFD"/>
    <w:rsid w:val="00292CDE"/>
    <w:rsid w:val="0029507F"/>
    <w:rsid w:val="002B652D"/>
    <w:rsid w:val="002C0EC7"/>
    <w:rsid w:val="002C746E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1729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9092C-EB39-4C8D-9AF1-BB6CDF6D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3465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9</cp:revision>
  <cp:lastPrinted>2020-12-18T05:24:00Z</cp:lastPrinted>
  <dcterms:created xsi:type="dcterms:W3CDTF">2020-10-15T10:06:00Z</dcterms:created>
  <dcterms:modified xsi:type="dcterms:W3CDTF">2021-02-22T10:44:00Z</dcterms:modified>
</cp:coreProperties>
</file>