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..…………………………………………..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…………………………………………..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…………….</w:t>
          </w:r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9E492D" w:rsidRDefault="009E492D" w:rsidP="009E492D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</w:p>
    <w:p w:rsidR="006C3940" w:rsidRPr="009E492D" w:rsidRDefault="006C3940" w:rsidP="009E492D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E492D">
        <w:rPr>
          <w:rFonts w:cs="Calibri"/>
          <w:sz w:val="20"/>
        </w:rPr>
        <w:t xml:space="preserve">Tato smlouva je uzavírána na základě výsledků </w:t>
      </w:r>
      <w:r w:rsidR="00B3405C" w:rsidRPr="009E492D">
        <w:rPr>
          <w:rFonts w:cs="Calibri"/>
          <w:sz w:val="20"/>
        </w:rPr>
        <w:t>veřejné zakázky malého rozsahu</w:t>
      </w:r>
      <w:r w:rsidRPr="009E492D">
        <w:rPr>
          <w:rFonts w:cs="Calibri"/>
          <w:sz w:val="20"/>
        </w:rPr>
        <w:t xml:space="preserve"> s názvem </w:t>
      </w:r>
      <w:r w:rsidR="00084ED2" w:rsidRPr="009E492D">
        <w:rPr>
          <w:rFonts w:cs="Calibri"/>
          <w:sz w:val="20"/>
        </w:rPr>
        <w:t xml:space="preserve">                                        </w:t>
      </w:r>
      <w:r w:rsidR="001F62B7" w:rsidRPr="009E492D">
        <w:rPr>
          <w:rFonts w:asciiTheme="minorHAnsi" w:hAnsiTheme="minorHAnsi" w:cstheme="minorHAnsi"/>
          <w:b/>
          <w:sz w:val="20"/>
        </w:rPr>
        <w:t>„</w:t>
      </w:r>
      <w:r w:rsidR="00723C3F" w:rsidRPr="009E492D">
        <w:rPr>
          <w:rFonts w:asciiTheme="minorHAnsi" w:hAnsiTheme="minorHAnsi" w:cstheme="minorHAnsi"/>
          <w:b/>
          <w:sz w:val="20"/>
        </w:rPr>
        <w:t>Protéza cévní gelweave valsalva</w:t>
      </w:r>
      <w:r w:rsidR="00EF35D9" w:rsidRPr="009E492D">
        <w:rPr>
          <w:rFonts w:asciiTheme="minorHAnsi" w:hAnsiTheme="minorHAnsi" w:cstheme="minorHAnsi"/>
          <w:b/>
          <w:sz w:val="20"/>
        </w:rPr>
        <w:t>“</w:t>
      </w:r>
      <w:r w:rsidR="000D16E0" w:rsidRPr="009E492D">
        <w:rPr>
          <w:rFonts w:asciiTheme="minorHAnsi" w:hAnsiTheme="minorHAnsi" w:cstheme="minorHAnsi"/>
          <w:b/>
          <w:sz w:val="20"/>
        </w:rPr>
        <w:t xml:space="preserve">, </w:t>
      </w:r>
      <w:r w:rsidR="000D16E0" w:rsidRPr="009E492D">
        <w:rPr>
          <w:rFonts w:asciiTheme="minorHAnsi" w:hAnsiTheme="minorHAnsi" w:cstheme="minorHAnsi"/>
          <w:sz w:val="20"/>
        </w:rPr>
        <w:t>interní evidenční číslo</w:t>
      </w:r>
      <w:r w:rsidR="001549F2" w:rsidRPr="009E492D">
        <w:rPr>
          <w:rFonts w:asciiTheme="minorHAnsi" w:hAnsiTheme="minorHAnsi" w:cstheme="minorHAnsi"/>
          <w:b/>
          <w:sz w:val="20"/>
        </w:rPr>
        <w:t xml:space="preserve"> </w:t>
      </w:r>
      <w:r w:rsidR="001F62B7" w:rsidRPr="009E492D">
        <w:rPr>
          <w:rFonts w:asciiTheme="minorHAnsi" w:hAnsiTheme="minorHAnsi" w:cstheme="minorHAnsi"/>
          <w:b/>
          <w:sz w:val="20"/>
        </w:rPr>
        <w:t>VZ-202</w:t>
      </w:r>
      <w:r w:rsidR="00B96B4A" w:rsidRPr="009E492D">
        <w:rPr>
          <w:rFonts w:asciiTheme="minorHAnsi" w:hAnsiTheme="minorHAnsi" w:cstheme="minorHAnsi"/>
          <w:b/>
          <w:sz w:val="20"/>
        </w:rPr>
        <w:t>1</w:t>
      </w:r>
      <w:r w:rsidR="001F62B7" w:rsidRPr="009E492D">
        <w:rPr>
          <w:rFonts w:asciiTheme="minorHAnsi" w:hAnsiTheme="minorHAnsi" w:cstheme="minorHAnsi"/>
          <w:b/>
          <w:sz w:val="20"/>
        </w:rPr>
        <w:t>-000</w:t>
      </w:r>
      <w:r w:rsidR="00723C3F" w:rsidRPr="009E492D">
        <w:rPr>
          <w:rFonts w:asciiTheme="minorHAnsi" w:hAnsiTheme="minorHAnsi" w:cstheme="minorHAnsi"/>
          <w:b/>
          <w:sz w:val="20"/>
        </w:rPr>
        <w:t>312</w:t>
      </w:r>
      <w:r w:rsidR="003C4A1B" w:rsidRPr="009E492D">
        <w:rPr>
          <w:rFonts w:cs="Calibri"/>
          <w:b/>
          <w:sz w:val="20"/>
        </w:rPr>
        <w:t>.</w:t>
      </w:r>
      <w:r w:rsidRPr="009E492D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Pr="00466CDF" w:rsidRDefault="00427FC6" w:rsidP="00723C3F">
      <w:pPr>
        <w:pStyle w:val="Odstavec"/>
        <w:numPr>
          <w:ilvl w:val="0"/>
          <w:numId w:val="0"/>
        </w:numPr>
        <w:spacing w:before="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Default="00AB7CC7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</w:t>
      </w:r>
      <w:r w:rsidR="00FE0D58" w:rsidRPr="002E2AE4">
        <w:rPr>
          <w:rFonts w:ascii="Calibri" w:hAnsi="Calibri" w:cs="Calibri"/>
          <w:sz w:val="20"/>
          <w:szCs w:val="20"/>
        </w:rPr>
        <w:t xml:space="preserve">konkrétně na </w:t>
      </w:r>
      <w:r w:rsidR="00723C3F">
        <w:rPr>
          <w:rFonts w:ascii="Calibri" w:hAnsi="Calibri" w:cs="Calibri"/>
          <w:sz w:val="20"/>
          <w:szCs w:val="20"/>
        </w:rPr>
        <w:t>Kardiochirurgické</w:t>
      </w:r>
      <w:r w:rsidR="00B00982">
        <w:rPr>
          <w:rFonts w:ascii="Calibri" w:hAnsi="Calibri" w:cs="Calibri"/>
          <w:sz w:val="20"/>
          <w:szCs w:val="20"/>
        </w:rPr>
        <w:t xml:space="preserve"> klinice</w:t>
      </w:r>
      <w:r w:rsidR="00723C3F">
        <w:rPr>
          <w:rFonts w:ascii="Calibri" w:hAnsi="Calibri" w:cs="Calibri"/>
          <w:sz w:val="20"/>
          <w:szCs w:val="20"/>
        </w:rPr>
        <w:t>.</w:t>
      </w:r>
    </w:p>
    <w:p w:rsidR="00723C3F" w:rsidRDefault="00723C3F" w:rsidP="00723C3F">
      <w:pPr>
        <w:pStyle w:val="Odstavecseseznamem"/>
        <w:rPr>
          <w:rFonts w:cs="Calibri"/>
          <w:sz w:val="20"/>
          <w:szCs w:val="20"/>
        </w:rPr>
      </w:pPr>
    </w:p>
    <w:p w:rsidR="00723C3F" w:rsidRPr="005B1807" w:rsidRDefault="00723C3F" w:rsidP="00723C3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866D8B">
        <w:rPr>
          <w:rFonts w:ascii="Calibri" w:hAnsi="Calibri" w:cs="Calibri"/>
          <w:sz w:val="20"/>
          <w:szCs w:val="20"/>
        </w:rPr>
        <w:t xml:space="preserve">2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B96B4A" w:rsidRDefault="00B3394A" w:rsidP="004335D0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 souhlasí s tím, aby pan</w:t>
      </w:r>
      <w:r w:rsidR="002E2AE4">
        <w:rPr>
          <w:rFonts w:ascii="Calibri" w:hAnsi="Calibri" w:cs="Calibri"/>
          <w:sz w:val="20"/>
          <w:szCs w:val="20"/>
        </w:rPr>
        <w:t xml:space="preserve">í </w:t>
      </w:r>
      <w:r w:rsidR="00723C3F">
        <w:rPr>
          <w:rFonts w:ascii="Calibri" w:hAnsi="Calibri" w:cs="Calibri"/>
          <w:sz w:val="20"/>
          <w:szCs w:val="20"/>
        </w:rPr>
        <w:t xml:space="preserve">Bc. Jana Grulichová </w:t>
      </w:r>
      <w:r w:rsidR="007B67D7">
        <w:rPr>
          <w:rFonts w:ascii="Calibri" w:hAnsi="Calibri" w:cs="Calibri"/>
          <w:sz w:val="20"/>
          <w:szCs w:val="20"/>
        </w:rPr>
        <w:t>b</w:t>
      </w:r>
      <w:r w:rsidR="007B67D7" w:rsidRPr="00B96B4A">
        <w:rPr>
          <w:rFonts w:ascii="Calibri" w:hAnsi="Calibri" w:cs="Calibri"/>
          <w:sz w:val="20"/>
          <w:szCs w:val="20"/>
        </w:rPr>
        <w:t>yl</w:t>
      </w:r>
      <w:r w:rsidR="007B67D7">
        <w:rPr>
          <w:rFonts w:ascii="Calibri" w:hAnsi="Calibri" w:cs="Calibri"/>
          <w:sz w:val="20"/>
          <w:szCs w:val="20"/>
        </w:rPr>
        <w:t xml:space="preserve">a </w:t>
      </w:r>
      <w:r w:rsidR="007B67D7" w:rsidRPr="00B96B4A">
        <w:rPr>
          <w:rFonts w:ascii="Calibri" w:hAnsi="Calibri" w:cs="Calibri"/>
          <w:sz w:val="20"/>
          <w:szCs w:val="20"/>
        </w:rPr>
        <w:t>provozovatelem</w:t>
      </w:r>
      <w:r w:rsidRPr="00B96B4A">
        <w:rPr>
          <w:rFonts w:ascii="Calibri" w:hAnsi="Calibri" w:cs="Calibri"/>
          <w:sz w:val="20"/>
          <w:szCs w:val="20"/>
        </w:rPr>
        <w:t xml:space="preserve"> konsignačního skladu</w:t>
      </w:r>
      <w:r w:rsidR="00B96B4A">
        <w:rPr>
          <w:rFonts w:ascii="Calibri" w:hAnsi="Calibri" w:cs="Calibri"/>
          <w:sz w:val="20"/>
          <w:szCs w:val="20"/>
        </w:rPr>
        <w:t>, e</w:t>
      </w:r>
      <w:r w:rsidRPr="00B96B4A">
        <w:rPr>
          <w:rFonts w:ascii="Calibri" w:hAnsi="Calibri" w:cs="Calibri"/>
          <w:sz w:val="20"/>
          <w:szCs w:val="20"/>
        </w:rPr>
        <w:t>mail:</w:t>
      </w:r>
      <w:r w:rsidR="00B96721" w:rsidRPr="00B96B4A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723C3F" w:rsidRPr="005C42A9">
          <w:rPr>
            <w:rStyle w:val="Hypertextovodkaz"/>
            <w:rFonts w:ascii="Segoe UI" w:hAnsi="Segoe UI" w:cs="Segoe UI"/>
            <w:sz w:val="19"/>
            <w:szCs w:val="19"/>
          </w:rPr>
          <w:t>Jana.Grulichova@fnol.cz</w:t>
        </w:r>
      </w:hyperlink>
      <w:r w:rsidR="00E42505" w:rsidRPr="00B96B4A">
        <w:rPr>
          <w:rStyle w:val="Hypertextovodkaz"/>
          <w:rFonts w:ascii="Segoe UI" w:hAnsi="Segoe UI" w:cs="Segoe UI"/>
          <w:sz w:val="19"/>
          <w:szCs w:val="19"/>
        </w:rPr>
        <w:t xml:space="preserve">; </w:t>
      </w:r>
      <w:r w:rsidRPr="00B96B4A">
        <w:rPr>
          <w:rFonts w:ascii="Calibri" w:hAnsi="Calibri" w:cs="Calibri"/>
          <w:sz w:val="20"/>
          <w:szCs w:val="20"/>
        </w:rPr>
        <w:t>Tel:</w:t>
      </w:r>
      <w:r w:rsidR="002E2AE4">
        <w:rPr>
          <w:rFonts w:ascii="Calibri" w:hAnsi="Calibri" w:cs="Calibri"/>
          <w:sz w:val="20"/>
          <w:szCs w:val="20"/>
        </w:rPr>
        <w:t xml:space="preserve"> 588</w:t>
      </w:r>
      <w:r w:rsidR="009E492D">
        <w:rPr>
          <w:rFonts w:ascii="Calibri" w:hAnsi="Calibri" w:cs="Calibri"/>
          <w:sz w:val="20"/>
          <w:szCs w:val="20"/>
        </w:rPr>
        <w:t> </w:t>
      </w:r>
      <w:r w:rsidR="002E2AE4">
        <w:rPr>
          <w:rFonts w:ascii="Calibri" w:hAnsi="Calibri" w:cs="Calibri"/>
          <w:sz w:val="20"/>
          <w:szCs w:val="20"/>
        </w:rPr>
        <w:t>44</w:t>
      </w:r>
      <w:r w:rsidR="009E492D">
        <w:rPr>
          <w:rFonts w:ascii="Calibri" w:hAnsi="Calibri" w:cs="Calibri"/>
          <w:sz w:val="20"/>
          <w:szCs w:val="20"/>
        </w:rPr>
        <w:t>2 912</w:t>
      </w:r>
      <w:r w:rsidR="00B96B4A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A71AAA" w:rsidRPr="00920F39" w:rsidRDefault="00A71AA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Pr="00920F39">
        <w:rPr>
          <w:rFonts w:cs="Calibri"/>
          <w:sz w:val="20"/>
        </w:rPr>
        <w:t>Smlo</w:t>
      </w:r>
      <w:r w:rsidR="00A85AB1" w:rsidRPr="00920F39">
        <w:rPr>
          <w:rFonts w:cs="Calibri"/>
          <w:sz w:val="20"/>
        </w:rPr>
        <w:t xml:space="preserve">uva se uzavírá na dobu určitou a to </w:t>
      </w:r>
      <w:r w:rsidR="00637927">
        <w:rPr>
          <w:rFonts w:asciiTheme="minorHAnsi" w:hAnsiTheme="minorHAnsi" w:cstheme="minorHAnsi"/>
          <w:sz w:val="20"/>
        </w:rPr>
        <w:t xml:space="preserve">na </w:t>
      </w:r>
      <w:r w:rsidR="00723C3F">
        <w:rPr>
          <w:rFonts w:asciiTheme="minorHAnsi" w:hAnsiTheme="minorHAnsi" w:cstheme="minorHAnsi"/>
          <w:sz w:val="20"/>
        </w:rPr>
        <w:t>36</w:t>
      </w:r>
      <w:r w:rsidR="00637927">
        <w:rPr>
          <w:rFonts w:asciiTheme="minorHAnsi" w:hAnsiTheme="minorHAnsi" w:cstheme="minorHAnsi"/>
          <w:sz w:val="20"/>
        </w:rPr>
        <w:t xml:space="preserve"> měsíců ode dne podpisu smlouvy oběma smluvními stranami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68101F">
        <w:rPr>
          <w:rFonts w:cs="Calibri"/>
          <w:sz w:val="20"/>
        </w:rPr>
        <w:t xml:space="preserve"> se zákonem </w:t>
      </w:r>
      <w:r w:rsidR="00433106">
        <w:rPr>
          <w:rFonts w:cs="Calibri"/>
          <w:sz w:val="20"/>
        </w:rPr>
        <w:t xml:space="preserve">               </w:t>
      </w:r>
      <w:r w:rsidR="0068101F">
        <w:rPr>
          <w:rFonts w:cs="Calibri"/>
          <w:sz w:val="20"/>
        </w:rPr>
        <w:t xml:space="preserve">č. 268/2014 Sb., o zdravotnických prostředcích, </w:t>
      </w:r>
      <w:r w:rsidRPr="00FD55CD">
        <w:rPr>
          <w:rFonts w:cs="Calibri"/>
          <w:sz w:val="20"/>
        </w:rPr>
        <w:t xml:space="preserve">je konsignant povinen zaplatit konsignatáři smluvní pokutu ve výši 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C0116E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</w:t>
      </w:r>
      <w:r w:rsidRPr="00920F39">
        <w:rPr>
          <w:rFonts w:cs="Calibri"/>
          <w:sz w:val="20"/>
        </w:rPr>
        <w:lastRenderedPageBreak/>
        <w:t>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nabývá platnosti dnem jejího podpisu oběma smluvními stranami.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  <w:t>…………………………………………………..</w:t>
      </w:r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2D520C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0116E">
      <w:rPr>
        <w:rFonts w:ascii="Calibri" w:hAnsi="Calibri"/>
        <w:noProof/>
        <w:sz w:val="22"/>
        <w:szCs w:val="22"/>
      </w:rPr>
      <w:t>4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Trk2+GZsFHLuZmM3zWM7Mqy+kDj4xXLglfFVyfUgZBp+TyNqxo9q8C2h7e12DxVZebNNfd/tRXVtjTOeYvGYWg==" w:salt="FSy+/fk/rFZN99voAD1EOw==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3D"/>
    <w:rsid w:val="000013F5"/>
    <w:rsid w:val="00012624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E16AF"/>
    <w:rsid w:val="001F62B7"/>
    <w:rsid w:val="001F7440"/>
    <w:rsid w:val="00200C91"/>
    <w:rsid w:val="002124A0"/>
    <w:rsid w:val="00237D13"/>
    <w:rsid w:val="00244068"/>
    <w:rsid w:val="00261649"/>
    <w:rsid w:val="002801FD"/>
    <w:rsid w:val="00280B74"/>
    <w:rsid w:val="002B03D8"/>
    <w:rsid w:val="002B3314"/>
    <w:rsid w:val="002C7D1F"/>
    <w:rsid w:val="002D134C"/>
    <w:rsid w:val="002D520C"/>
    <w:rsid w:val="002E2AE4"/>
    <w:rsid w:val="003270CE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443D"/>
    <w:rsid w:val="003B6C6A"/>
    <w:rsid w:val="003C4A1B"/>
    <w:rsid w:val="003C6EAA"/>
    <w:rsid w:val="003D59D8"/>
    <w:rsid w:val="003E6F02"/>
    <w:rsid w:val="00417752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7927"/>
    <w:rsid w:val="00651163"/>
    <w:rsid w:val="00666515"/>
    <w:rsid w:val="0068101F"/>
    <w:rsid w:val="00681AB2"/>
    <w:rsid w:val="006A60DD"/>
    <w:rsid w:val="006C189B"/>
    <w:rsid w:val="006C3940"/>
    <w:rsid w:val="006C4A03"/>
    <w:rsid w:val="006D0F76"/>
    <w:rsid w:val="006F27DB"/>
    <w:rsid w:val="00712EEB"/>
    <w:rsid w:val="00722839"/>
    <w:rsid w:val="00723C3F"/>
    <w:rsid w:val="00734E55"/>
    <w:rsid w:val="00753B3B"/>
    <w:rsid w:val="00756C10"/>
    <w:rsid w:val="00780860"/>
    <w:rsid w:val="00784C67"/>
    <w:rsid w:val="00792483"/>
    <w:rsid w:val="007A0886"/>
    <w:rsid w:val="007A2E0A"/>
    <w:rsid w:val="007A304D"/>
    <w:rsid w:val="007A38EE"/>
    <w:rsid w:val="007B67D7"/>
    <w:rsid w:val="007D59D1"/>
    <w:rsid w:val="007F5C05"/>
    <w:rsid w:val="008009FB"/>
    <w:rsid w:val="00842414"/>
    <w:rsid w:val="008447DC"/>
    <w:rsid w:val="008509EB"/>
    <w:rsid w:val="00856A80"/>
    <w:rsid w:val="0085731D"/>
    <w:rsid w:val="00866D8B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04216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A18FB"/>
    <w:rsid w:val="009A7635"/>
    <w:rsid w:val="009D5369"/>
    <w:rsid w:val="009D74E9"/>
    <w:rsid w:val="009E492D"/>
    <w:rsid w:val="009E7F8F"/>
    <w:rsid w:val="00A042B3"/>
    <w:rsid w:val="00A070F7"/>
    <w:rsid w:val="00A114A7"/>
    <w:rsid w:val="00A37527"/>
    <w:rsid w:val="00A554BB"/>
    <w:rsid w:val="00A640B2"/>
    <w:rsid w:val="00A71AAA"/>
    <w:rsid w:val="00A81259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3394A"/>
    <w:rsid w:val="00B3405C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E4127"/>
    <w:rsid w:val="00BE6EAE"/>
    <w:rsid w:val="00BE71E5"/>
    <w:rsid w:val="00C0116E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81129"/>
    <w:rsid w:val="00C96E25"/>
    <w:rsid w:val="00CA11A3"/>
    <w:rsid w:val="00CA326E"/>
    <w:rsid w:val="00CC1C8B"/>
    <w:rsid w:val="00CC79A0"/>
    <w:rsid w:val="00D02BD6"/>
    <w:rsid w:val="00D14430"/>
    <w:rsid w:val="00D16D93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F3346"/>
    <w:rsid w:val="00EF35D9"/>
    <w:rsid w:val="00F0442E"/>
    <w:rsid w:val="00F17275"/>
    <w:rsid w:val="00F71E18"/>
    <w:rsid w:val="00F973C0"/>
    <w:rsid w:val="00FA6ABC"/>
    <w:rsid w:val="00FB320A"/>
    <w:rsid w:val="00FB493F"/>
    <w:rsid w:val="00FB75D5"/>
    <w:rsid w:val="00FC3135"/>
    <w:rsid w:val="00FD390A"/>
    <w:rsid w:val="00FD3B11"/>
    <w:rsid w:val="00FD55CD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5:docId w15:val="{A6602A23-5CEF-44D3-921F-434800F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3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rulichov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00EF"/>
    <w:rsid w:val="000436B4"/>
    <w:rsid w:val="000A52DE"/>
    <w:rsid w:val="000C0EA2"/>
    <w:rsid w:val="002535E8"/>
    <w:rsid w:val="002924A1"/>
    <w:rsid w:val="003204CF"/>
    <w:rsid w:val="003455AF"/>
    <w:rsid w:val="003D0FAF"/>
    <w:rsid w:val="00551830"/>
    <w:rsid w:val="005B477B"/>
    <w:rsid w:val="005D1DA4"/>
    <w:rsid w:val="00623D3A"/>
    <w:rsid w:val="006374DE"/>
    <w:rsid w:val="006C2D68"/>
    <w:rsid w:val="0074780D"/>
    <w:rsid w:val="00830D6A"/>
    <w:rsid w:val="008974E5"/>
    <w:rsid w:val="009279AC"/>
    <w:rsid w:val="00943F87"/>
    <w:rsid w:val="00951E48"/>
    <w:rsid w:val="00A150E7"/>
    <w:rsid w:val="00A26206"/>
    <w:rsid w:val="00AD0DFC"/>
    <w:rsid w:val="00AE04E0"/>
    <w:rsid w:val="00B378E4"/>
    <w:rsid w:val="00BE20F8"/>
    <w:rsid w:val="00C23C9D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2D68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362F-FE96-4213-9C2D-AD3EAB48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1887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Zdráhalová Eva, Bc.</cp:lastModifiedBy>
  <cp:revision>61</cp:revision>
  <cp:lastPrinted>2020-06-17T05:27:00Z</cp:lastPrinted>
  <dcterms:created xsi:type="dcterms:W3CDTF">2018-04-05T08:10:00Z</dcterms:created>
  <dcterms:modified xsi:type="dcterms:W3CDTF">2021-04-14T06:45:00Z</dcterms:modified>
</cp:coreProperties>
</file>