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444243" w:rsidRPr="00444243">
        <w:rPr>
          <w:rFonts w:asciiTheme="minorHAnsi" w:hAnsiTheme="minorHAnsi" w:cstheme="minorHAnsi"/>
          <w:b/>
          <w:sz w:val="20"/>
        </w:rPr>
        <w:t>„Polohovač a Ofuk Blower Mister ke stabilizátoru pro operace srdce“</w:t>
      </w:r>
      <w:r w:rsidR="00A47F5E">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5E5DFA">
        <w:rPr>
          <w:rFonts w:asciiTheme="minorHAnsi" w:hAnsiTheme="minorHAnsi" w:cstheme="minorHAnsi"/>
          <w:b/>
          <w:sz w:val="20"/>
        </w:rPr>
        <w:t>1-000</w:t>
      </w:r>
      <w:r w:rsidR="00444243">
        <w:rPr>
          <w:rFonts w:asciiTheme="minorHAnsi" w:hAnsiTheme="minorHAnsi" w:cstheme="minorHAnsi"/>
          <w:b/>
          <w:sz w:val="20"/>
        </w:rPr>
        <w:t xml:space="preserve">529, část </w:t>
      </w:r>
      <w:r w:rsidR="00C51A38">
        <w:rPr>
          <w:rFonts w:asciiTheme="minorHAnsi" w:hAnsiTheme="minorHAnsi" w:cstheme="minorHAnsi"/>
          <w:b/>
          <w:sz w:val="20"/>
        </w:rPr>
        <w:t>II</w:t>
      </w:r>
      <w:r w:rsidR="00A435A3">
        <w:rPr>
          <w:rFonts w:asciiTheme="minorHAnsi" w:hAnsiTheme="minorHAnsi" w:cstheme="minorHAnsi"/>
          <w:b/>
          <w:sz w:val="20"/>
        </w:rPr>
        <w:t>.</w:t>
      </w:r>
      <w:r w:rsidR="00444243">
        <w:rPr>
          <w:rFonts w:asciiTheme="minorHAnsi" w:hAnsiTheme="minorHAnsi" w:cstheme="minorHAnsi"/>
          <w:b/>
          <w:sz w:val="20"/>
        </w:rPr>
        <w:t xml:space="preserve"> s názvem </w:t>
      </w:r>
      <w:r w:rsidR="00C51A38" w:rsidRPr="00C51A38">
        <w:rPr>
          <w:rFonts w:asciiTheme="minorHAnsi" w:hAnsiTheme="minorHAnsi" w:cstheme="minorHAnsi"/>
          <w:b/>
          <w:sz w:val="20"/>
        </w:rPr>
        <w:t>Ofuk Blower Mister - ventilátorový postřikovač</w:t>
      </w:r>
      <w:r w:rsidR="00A435A3">
        <w:rPr>
          <w:rFonts w:asciiTheme="minorHAnsi" w:hAnsiTheme="minorHAnsi" w:cstheme="minorHAnsi"/>
          <w:b/>
          <w:sz w:val="20"/>
        </w:rPr>
        <w:t>.</w:t>
      </w:r>
      <w:r w:rsidR="00A435A3" w:rsidRPr="00A435A3">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AE28A1"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Pr="008062C2"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Místem plnění je konsi</w:t>
      </w:r>
      <w:r w:rsidR="00235321" w:rsidRPr="008062C2">
        <w:rPr>
          <w:rFonts w:asciiTheme="minorHAnsi" w:hAnsiTheme="minorHAnsi" w:cstheme="minorHAnsi"/>
          <w:sz w:val="20"/>
          <w:szCs w:val="20"/>
        </w:rPr>
        <w:t xml:space="preserve">gnační sklad </w:t>
      </w:r>
      <w:r w:rsidR="00B63581">
        <w:rPr>
          <w:rFonts w:asciiTheme="minorHAnsi" w:hAnsiTheme="minorHAnsi" w:cstheme="minorHAnsi"/>
          <w:sz w:val="20"/>
          <w:szCs w:val="20"/>
        </w:rPr>
        <w:t xml:space="preserve">č. </w:t>
      </w:r>
      <w:sdt>
        <w:sdtPr>
          <w:rPr>
            <w:rFonts w:asciiTheme="minorHAnsi" w:hAnsiTheme="minorHAnsi" w:cstheme="minorHAnsi"/>
            <w:sz w:val="20"/>
            <w:szCs w:val="20"/>
          </w:rPr>
          <w:id w:val="20365307"/>
          <w:placeholder>
            <w:docPart w:val="DefaultPlaceholder_22675703"/>
          </w:placeholder>
        </w:sdtPr>
        <w:sdtEndPr>
          <w:rPr>
            <w:highlight w:val="lightGray"/>
          </w:rPr>
        </w:sdtEndPr>
        <w:sdtContent>
          <w:r w:rsidR="00B63581" w:rsidRPr="00B63581">
            <w:rPr>
              <w:rFonts w:asciiTheme="minorHAnsi" w:hAnsiTheme="minorHAnsi" w:cstheme="minorHAnsi"/>
              <w:sz w:val="20"/>
              <w:szCs w:val="20"/>
              <w:highlight w:val="lightGray"/>
            </w:rPr>
            <w:t>..</w:t>
          </w:r>
          <w:r w:rsidR="00444243">
            <w:rPr>
              <w:rFonts w:asciiTheme="minorHAnsi" w:hAnsiTheme="minorHAnsi" w:cstheme="minorHAnsi"/>
              <w:sz w:val="20"/>
              <w:szCs w:val="20"/>
              <w:highlight w:val="lightGray"/>
            </w:rPr>
            <w:t>bude doplněno před podpisem</w:t>
          </w:r>
          <w:r w:rsidR="00B63581" w:rsidRPr="00B63581">
            <w:rPr>
              <w:rFonts w:asciiTheme="minorHAnsi" w:hAnsiTheme="minorHAnsi" w:cstheme="minorHAnsi"/>
              <w:sz w:val="20"/>
              <w:szCs w:val="20"/>
              <w:highlight w:val="lightGray"/>
            </w:rPr>
            <w:t>...</w:t>
          </w:r>
        </w:sdtContent>
      </w:sdt>
      <w:r w:rsidR="00B63581">
        <w:rPr>
          <w:rFonts w:asciiTheme="minorHAnsi" w:hAnsiTheme="minorHAnsi" w:cstheme="minorHAnsi"/>
          <w:sz w:val="20"/>
          <w:szCs w:val="20"/>
        </w:rPr>
        <w:t xml:space="preserve"> </w:t>
      </w:r>
      <w:r w:rsidR="00444243">
        <w:rPr>
          <w:rFonts w:asciiTheme="minorHAnsi" w:hAnsiTheme="minorHAnsi" w:cstheme="minorHAnsi"/>
          <w:sz w:val="20"/>
          <w:szCs w:val="20"/>
        </w:rPr>
        <w:t>Kardiochirurgické</w:t>
      </w:r>
      <w:r w:rsidR="005D7D8B">
        <w:rPr>
          <w:rFonts w:asciiTheme="minorHAnsi" w:hAnsiTheme="minorHAnsi" w:cstheme="minorHAnsi"/>
          <w:sz w:val="20"/>
          <w:szCs w:val="20"/>
        </w:rPr>
        <w:t xml:space="preserve"> </w:t>
      </w:r>
      <w:r w:rsidR="005778BB">
        <w:rPr>
          <w:rFonts w:asciiTheme="minorHAnsi" w:hAnsiTheme="minorHAnsi" w:cstheme="minorHAnsi"/>
          <w:sz w:val="20"/>
          <w:szCs w:val="20"/>
        </w:rPr>
        <w:t>kliniky</w:t>
      </w:r>
      <w:r w:rsidR="00235321" w:rsidRPr="008062C2">
        <w:rPr>
          <w:rFonts w:asciiTheme="minorHAnsi" w:hAnsiTheme="minorHAnsi" w:cstheme="minorHAnsi"/>
          <w:sz w:val="20"/>
          <w:szCs w:val="20"/>
        </w:rPr>
        <w:t xml:space="preserve"> 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w:t>
      </w:r>
      <w:r w:rsidRPr="00E677D0">
        <w:rPr>
          <w:rFonts w:asciiTheme="minorHAnsi" w:hAnsiTheme="minorHAnsi" w:cstheme="minorHAnsi"/>
          <w:sz w:val="20"/>
          <w:szCs w:val="20"/>
        </w:rPr>
        <w:t>nejpozději do</w:t>
      </w:r>
      <w:r w:rsidR="00750737" w:rsidRPr="00E677D0">
        <w:rPr>
          <w:rFonts w:asciiTheme="minorHAnsi" w:hAnsiTheme="minorHAnsi" w:cstheme="minorHAnsi"/>
          <w:sz w:val="20"/>
          <w:szCs w:val="20"/>
        </w:rPr>
        <w:t xml:space="preserve"> </w:t>
      </w:r>
      <w:r w:rsidR="0009289A" w:rsidRPr="00E677D0">
        <w:rPr>
          <w:rFonts w:asciiTheme="minorHAnsi" w:hAnsiTheme="minorHAnsi" w:cstheme="minorHAnsi"/>
          <w:sz w:val="20"/>
          <w:szCs w:val="20"/>
        </w:rPr>
        <w:t xml:space="preserve">2 </w:t>
      </w:r>
      <w:r w:rsidR="00FD3D3F" w:rsidRPr="00E677D0">
        <w:rPr>
          <w:rFonts w:asciiTheme="minorHAnsi" w:hAnsiTheme="minorHAnsi" w:cstheme="minorHAnsi"/>
          <w:sz w:val="20"/>
          <w:szCs w:val="20"/>
        </w:rPr>
        <w:t>pracovních</w:t>
      </w:r>
      <w:r w:rsidR="00FD3D3F">
        <w:rPr>
          <w:rFonts w:asciiTheme="minorHAnsi" w:hAnsiTheme="minorHAnsi" w:cstheme="minorHAnsi"/>
          <w:sz w:val="20"/>
          <w:szCs w:val="20"/>
        </w:rPr>
        <w:t xml:space="preserve">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Pr="00E677D0"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E677D0">
        <w:rPr>
          <w:rFonts w:asciiTheme="minorHAnsi" w:hAnsiTheme="minorHAnsi" w:cstheme="minorHAnsi"/>
          <w:sz w:val="20"/>
          <w:szCs w:val="20"/>
        </w:rPr>
        <w:t xml:space="preserve">musí být minimálně </w:t>
      </w:r>
      <w:r w:rsidR="00275E26" w:rsidRPr="00E677D0">
        <w:rPr>
          <w:rFonts w:asciiTheme="minorHAnsi" w:hAnsiTheme="minorHAnsi" w:cstheme="minorHAnsi"/>
          <w:sz w:val="20"/>
          <w:szCs w:val="20"/>
        </w:rPr>
        <w:t>12</w:t>
      </w:r>
      <w:r w:rsidR="0009289A" w:rsidRPr="00E677D0">
        <w:rPr>
          <w:rFonts w:asciiTheme="minorHAnsi" w:hAnsiTheme="minorHAnsi" w:cstheme="minorHAnsi"/>
          <w:sz w:val="20"/>
          <w:szCs w:val="20"/>
        </w:rPr>
        <w:t xml:space="preserve"> měsíců</w:t>
      </w:r>
      <w:r w:rsidRPr="00E677D0">
        <w:rPr>
          <w:rFonts w:asciiTheme="minorHAnsi" w:hAnsiTheme="minorHAnsi" w:cstheme="minorHAnsi"/>
          <w:sz w:val="20"/>
          <w:szCs w:val="20"/>
        </w:rPr>
        <w:t>.</w:t>
      </w:r>
    </w:p>
    <w:p w:rsidR="00380784" w:rsidRPr="00E677D0"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maximální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Pr="0007495B">
        <w:rPr>
          <w:rFonts w:asciiTheme="minorHAnsi" w:hAnsiTheme="minorHAnsi" w:cstheme="minorHAnsi"/>
          <w:b/>
          <w:sz w:val="20"/>
        </w:rPr>
        <w:t>60 kalendářních dnů</w:t>
      </w:r>
      <w:r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Pr="0007495B">
        <w:rPr>
          <w:rFonts w:asciiTheme="minorHAnsi" w:hAnsiTheme="minorHAnsi" w:cstheme="minorHAnsi"/>
          <w:sz w:val="20"/>
        </w:rPr>
        <w:t xml:space="preserve"> faktury</w:t>
      </w:r>
      <w:r w:rsidR="00EF6998">
        <w:rPr>
          <w:rFonts w:asciiTheme="minorHAnsi" w:hAnsiTheme="minorHAnsi" w:cstheme="minorHAnsi"/>
          <w:sz w:val="20"/>
        </w:rPr>
        <w:t xml:space="preserve"> na adresu </w:t>
      </w:r>
      <w:r w:rsidR="00111F4B">
        <w:rPr>
          <w:rFonts w:asciiTheme="minorHAnsi" w:hAnsiTheme="minorHAnsi" w:cstheme="minorHAnsi"/>
          <w:sz w:val="20"/>
        </w:rPr>
        <w:t>kupující</w:t>
      </w:r>
      <w:r w:rsidR="00EF6998">
        <w:rPr>
          <w:rFonts w:asciiTheme="minorHAnsi" w:hAnsiTheme="minorHAnsi" w:cstheme="minorHAnsi"/>
          <w:sz w:val="20"/>
        </w:rPr>
        <w:t>ho nebo elektronicky na email fin@fnol.cz</w:t>
      </w:r>
      <w:r w:rsidR="00111F4B">
        <w:rPr>
          <w:rFonts w:asciiTheme="minorHAnsi" w:hAnsiTheme="minorHAnsi" w:cstheme="minorHAnsi"/>
          <w:sz w:val="20"/>
        </w:rPr>
        <w:t>,</w:t>
      </w:r>
      <w:r w:rsidR="00EF6998">
        <w:rPr>
          <w:rFonts w:asciiTheme="minorHAnsi" w:hAnsiTheme="minorHAnsi" w:cstheme="minorHAnsi"/>
          <w:sz w:val="20"/>
        </w:rPr>
        <w:t xml:space="preserve"> nezbytnou přílohou</w:t>
      </w:r>
      <w:r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EF6998">
        <w:rPr>
          <w:rFonts w:asciiTheme="minorHAnsi" w:hAnsiTheme="minorHAnsi" w:cstheme="minorHAnsi"/>
          <w:b/>
          <w:sz w:val="20"/>
        </w:rPr>
        <w:t>1</w:t>
      </w:r>
      <w:r w:rsidR="00380784">
        <w:rPr>
          <w:rFonts w:asciiTheme="minorHAnsi" w:hAnsiTheme="minorHAnsi" w:cstheme="minorHAnsi"/>
          <w:b/>
          <w:sz w:val="20"/>
        </w:rPr>
        <w:t>-000</w:t>
      </w:r>
      <w:r w:rsidR="00444243">
        <w:rPr>
          <w:rFonts w:asciiTheme="minorHAnsi" w:hAnsiTheme="minorHAnsi" w:cstheme="minorHAnsi"/>
          <w:b/>
          <w:sz w:val="20"/>
        </w:rPr>
        <w:t>529</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 xml:space="preserve">Prodávající je dále povinen vystavovat samostatné faktury s tímto označením pouze na předmět plnění z tohoto smluvního vztahu, tzn. samostatné faktury na </w:t>
      </w:r>
      <w:r w:rsidR="00AE28A1" w:rsidRPr="0007495B">
        <w:rPr>
          <w:rFonts w:asciiTheme="minorHAnsi" w:hAnsiTheme="minorHAnsi" w:cstheme="minorHAnsi"/>
          <w:sz w:val="20"/>
        </w:rPr>
        <w:lastRenderedPageBreak/>
        <w:t>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180994" w:rsidRDefault="00180994" w:rsidP="00380784">
      <w:pPr>
        <w:pStyle w:val="Odstavec"/>
        <w:numPr>
          <w:ilvl w:val="0"/>
          <w:numId w:val="0"/>
        </w:numPr>
        <w:spacing w:before="0" w:after="0"/>
        <w:ind w:left="284" w:hanging="284"/>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B63581" w:rsidRDefault="00BE4957" w:rsidP="00B63581">
      <w:pPr>
        <w:pStyle w:val="Odstavec"/>
        <w:numPr>
          <w:ilvl w:val="0"/>
          <w:numId w:val="0"/>
        </w:numPr>
        <w:spacing w:before="0"/>
        <w:ind w:left="284" w:hanging="284"/>
        <w:rPr>
          <w:rFonts w:cs="Calibr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B63581" w:rsidRPr="00D21789">
        <w:rPr>
          <w:rFonts w:cs="Calibri"/>
          <w:sz w:val="20"/>
        </w:rPr>
        <w:t xml:space="preserve">Smlouva vstupuje v platnost datem podpisu smlouvy oprávněnými zástupci obou smluvních stran. Smlouva nabývá účinnosti dnem zveřejnění v registru smluv nebo dnem </w:t>
      </w:r>
      <w:r w:rsidR="00C51A38">
        <w:rPr>
          <w:rFonts w:cs="Calibri"/>
          <w:sz w:val="20"/>
        </w:rPr>
        <w:t>25</w:t>
      </w:r>
      <w:r w:rsidR="00A435A3" w:rsidRPr="00A435A3">
        <w:rPr>
          <w:rFonts w:cs="Calibri"/>
          <w:sz w:val="20"/>
        </w:rPr>
        <w:t>.7.2021</w:t>
      </w:r>
      <w:r w:rsidR="00B63581" w:rsidRPr="00A435A3">
        <w:rPr>
          <w:rFonts w:cs="Calibri"/>
          <w:sz w:val="20"/>
        </w:rPr>
        <w:t>,</w:t>
      </w:r>
      <w:r w:rsidR="00B63581" w:rsidRPr="00D21789">
        <w:rPr>
          <w:rFonts w:cs="Calibri"/>
          <w:sz w:val="20"/>
        </w:rPr>
        <w:t xml:space="preserve"> rozhodné je datum, které nastane později.</w:t>
      </w:r>
    </w:p>
    <w:p w:rsidR="00AE28A1" w:rsidRPr="008062C2" w:rsidRDefault="00B63581" w:rsidP="00B63581">
      <w:pPr>
        <w:pStyle w:val="Odstavec"/>
        <w:numPr>
          <w:ilvl w:val="0"/>
          <w:numId w:val="0"/>
        </w:numPr>
        <w:spacing w:before="0" w:after="0"/>
        <w:ind w:left="284" w:hanging="284"/>
        <w:rPr>
          <w:rFonts w:asciiTheme="minorHAnsi" w:hAnsiTheme="minorHAnsi" w:cstheme="minorHAnsi"/>
          <w:sz w:val="20"/>
        </w:rPr>
      </w:pPr>
      <w:r w:rsidRPr="00D21789">
        <w:rPr>
          <w:rFonts w:cs="Calibri"/>
          <w:sz w:val="20"/>
        </w:rPr>
        <w:t>2.</w:t>
      </w:r>
      <w:r w:rsidRPr="00D21789">
        <w:rPr>
          <w:rFonts w:cs="Calibri"/>
          <w:sz w:val="20"/>
        </w:rPr>
        <w:tab/>
        <w:t>Smlouva se uzavírá na dobu určitou a to na 36 měsíců ode dne účinnosti smlouvy</w:t>
      </w:r>
      <w:r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lastRenderedPageBreak/>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58140E"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58140E"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7</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160EB3">
        <w:rPr>
          <w:rFonts w:asciiTheme="minorHAnsi" w:hAnsiTheme="minorHAnsi" w:cstheme="minorHAnsi"/>
          <w:sz w:val="20"/>
        </w:rPr>
        <w:t>á</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sdtContent>
      </w:sdt>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192792">
    <w:pPr>
      <w:pStyle w:val="Zpat"/>
      <w:jc w:val="center"/>
    </w:pPr>
    <w:r>
      <w:fldChar w:fldCharType="begin"/>
    </w:r>
    <w:r w:rsidR="000E0507">
      <w:instrText xml:space="preserve"> PAGE   \* MERGEFORMAT </w:instrText>
    </w:r>
    <w:r>
      <w:fldChar w:fldCharType="separate"/>
    </w:r>
    <w:r w:rsidR="0012410B">
      <w:rPr>
        <w:noProof/>
      </w:rPr>
      <w:t>1</w:t>
    </w:r>
    <w:r>
      <w:rPr>
        <w:noProof/>
      </w:rPr>
      <w:fldChar w:fldCharType="end"/>
    </w:r>
  </w:p>
  <w:p w:rsidR="000B3669" w:rsidRDefault="000B36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2pt;height:12.6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yl3JlYGv4sBRfxjeFhCBMpTqR6lp/z2F0j9WU0FYIUZ0Xmf0ZzuTKDNB8FZY9/lCw6zB9ULlJucJmbT4pZ6EAg==" w:salt="zZr4jBhVsMRIhg5FNOHK1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07AA"/>
    <w:rsid w:val="00012BB9"/>
    <w:rsid w:val="00024571"/>
    <w:rsid w:val="00035217"/>
    <w:rsid w:val="0004259C"/>
    <w:rsid w:val="00044DF0"/>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410B"/>
    <w:rsid w:val="001258DA"/>
    <w:rsid w:val="00144A93"/>
    <w:rsid w:val="00151E16"/>
    <w:rsid w:val="00153229"/>
    <w:rsid w:val="0016091A"/>
    <w:rsid w:val="00160EB3"/>
    <w:rsid w:val="00163CDD"/>
    <w:rsid w:val="00171DE8"/>
    <w:rsid w:val="00180994"/>
    <w:rsid w:val="00183BE5"/>
    <w:rsid w:val="00192792"/>
    <w:rsid w:val="001A2F97"/>
    <w:rsid w:val="001A3767"/>
    <w:rsid w:val="00200675"/>
    <w:rsid w:val="00203CC3"/>
    <w:rsid w:val="002105AB"/>
    <w:rsid w:val="00210DD9"/>
    <w:rsid w:val="0021150B"/>
    <w:rsid w:val="00216495"/>
    <w:rsid w:val="00226F12"/>
    <w:rsid w:val="00227F05"/>
    <w:rsid w:val="00235321"/>
    <w:rsid w:val="00236271"/>
    <w:rsid w:val="00246993"/>
    <w:rsid w:val="0025160E"/>
    <w:rsid w:val="00252F35"/>
    <w:rsid w:val="00275E26"/>
    <w:rsid w:val="00295321"/>
    <w:rsid w:val="002A45F2"/>
    <w:rsid w:val="002B7FDF"/>
    <w:rsid w:val="002E4F94"/>
    <w:rsid w:val="00311A94"/>
    <w:rsid w:val="003471F4"/>
    <w:rsid w:val="003528B9"/>
    <w:rsid w:val="00380784"/>
    <w:rsid w:val="00386B92"/>
    <w:rsid w:val="00387F0B"/>
    <w:rsid w:val="003A1C77"/>
    <w:rsid w:val="003A65D8"/>
    <w:rsid w:val="003D0D6A"/>
    <w:rsid w:val="003F1DBA"/>
    <w:rsid w:val="003F2088"/>
    <w:rsid w:val="00430377"/>
    <w:rsid w:val="00444243"/>
    <w:rsid w:val="00467A09"/>
    <w:rsid w:val="00496EF0"/>
    <w:rsid w:val="004B32C3"/>
    <w:rsid w:val="004B447B"/>
    <w:rsid w:val="004B47CD"/>
    <w:rsid w:val="004D28C1"/>
    <w:rsid w:val="004D4C7B"/>
    <w:rsid w:val="004F4833"/>
    <w:rsid w:val="004F569F"/>
    <w:rsid w:val="0050008A"/>
    <w:rsid w:val="0050387F"/>
    <w:rsid w:val="00550A94"/>
    <w:rsid w:val="00553A57"/>
    <w:rsid w:val="00564FCF"/>
    <w:rsid w:val="005730EC"/>
    <w:rsid w:val="005778BB"/>
    <w:rsid w:val="0058140E"/>
    <w:rsid w:val="005852BC"/>
    <w:rsid w:val="005A2FD8"/>
    <w:rsid w:val="005D7D8B"/>
    <w:rsid w:val="005E5DFA"/>
    <w:rsid w:val="00601BDC"/>
    <w:rsid w:val="00615B26"/>
    <w:rsid w:val="00641B68"/>
    <w:rsid w:val="006553B7"/>
    <w:rsid w:val="0067398F"/>
    <w:rsid w:val="0067447D"/>
    <w:rsid w:val="00692EBC"/>
    <w:rsid w:val="0069388E"/>
    <w:rsid w:val="006961E2"/>
    <w:rsid w:val="006A1F20"/>
    <w:rsid w:val="006A49A9"/>
    <w:rsid w:val="006C7AFF"/>
    <w:rsid w:val="006F37B3"/>
    <w:rsid w:val="00715DC9"/>
    <w:rsid w:val="007207AA"/>
    <w:rsid w:val="00743111"/>
    <w:rsid w:val="00750737"/>
    <w:rsid w:val="007657F3"/>
    <w:rsid w:val="007A412E"/>
    <w:rsid w:val="007B7B32"/>
    <w:rsid w:val="007C01B2"/>
    <w:rsid w:val="007D1AA3"/>
    <w:rsid w:val="007D675E"/>
    <w:rsid w:val="007F0C8A"/>
    <w:rsid w:val="007F2487"/>
    <w:rsid w:val="008062C2"/>
    <w:rsid w:val="008212A4"/>
    <w:rsid w:val="00854E5A"/>
    <w:rsid w:val="008C0457"/>
    <w:rsid w:val="008C372E"/>
    <w:rsid w:val="008E2D1D"/>
    <w:rsid w:val="008E4132"/>
    <w:rsid w:val="008F2A84"/>
    <w:rsid w:val="008F65AC"/>
    <w:rsid w:val="00916F47"/>
    <w:rsid w:val="00922185"/>
    <w:rsid w:val="00961809"/>
    <w:rsid w:val="009C1DFC"/>
    <w:rsid w:val="009E34B4"/>
    <w:rsid w:val="00A04658"/>
    <w:rsid w:val="00A22A6D"/>
    <w:rsid w:val="00A2330E"/>
    <w:rsid w:val="00A27DC1"/>
    <w:rsid w:val="00A31E6F"/>
    <w:rsid w:val="00A36282"/>
    <w:rsid w:val="00A435A3"/>
    <w:rsid w:val="00A47F5E"/>
    <w:rsid w:val="00A5094F"/>
    <w:rsid w:val="00A54213"/>
    <w:rsid w:val="00A57D24"/>
    <w:rsid w:val="00A82767"/>
    <w:rsid w:val="00AA2AAC"/>
    <w:rsid w:val="00AB3CF5"/>
    <w:rsid w:val="00AD0D1A"/>
    <w:rsid w:val="00AE15C5"/>
    <w:rsid w:val="00AE28A1"/>
    <w:rsid w:val="00B123E2"/>
    <w:rsid w:val="00B23360"/>
    <w:rsid w:val="00B6156B"/>
    <w:rsid w:val="00B63277"/>
    <w:rsid w:val="00B63581"/>
    <w:rsid w:val="00B63AA9"/>
    <w:rsid w:val="00B869F1"/>
    <w:rsid w:val="00BE2550"/>
    <w:rsid w:val="00BE4957"/>
    <w:rsid w:val="00BF6F79"/>
    <w:rsid w:val="00C00E26"/>
    <w:rsid w:val="00C10B65"/>
    <w:rsid w:val="00C21EE7"/>
    <w:rsid w:val="00C25B6F"/>
    <w:rsid w:val="00C2654D"/>
    <w:rsid w:val="00C51A38"/>
    <w:rsid w:val="00C86DD1"/>
    <w:rsid w:val="00C9148D"/>
    <w:rsid w:val="00C96205"/>
    <w:rsid w:val="00CA7D66"/>
    <w:rsid w:val="00CC0C4B"/>
    <w:rsid w:val="00CC781A"/>
    <w:rsid w:val="00CE3002"/>
    <w:rsid w:val="00D12FAB"/>
    <w:rsid w:val="00D62AE0"/>
    <w:rsid w:val="00D860EC"/>
    <w:rsid w:val="00DA005C"/>
    <w:rsid w:val="00DA4810"/>
    <w:rsid w:val="00DB6075"/>
    <w:rsid w:val="00DC0190"/>
    <w:rsid w:val="00DC60C9"/>
    <w:rsid w:val="00DD27A9"/>
    <w:rsid w:val="00DE4FB8"/>
    <w:rsid w:val="00E010F1"/>
    <w:rsid w:val="00E57ED7"/>
    <w:rsid w:val="00E677D0"/>
    <w:rsid w:val="00E74BCF"/>
    <w:rsid w:val="00E75297"/>
    <w:rsid w:val="00E974FC"/>
    <w:rsid w:val="00EA6A88"/>
    <w:rsid w:val="00EC48DE"/>
    <w:rsid w:val="00ED2438"/>
    <w:rsid w:val="00EF6998"/>
    <w:rsid w:val="00F276E9"/>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B95423-5D65-4DDC-9895-93F77CAC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418BD"/>
    <w:rsid w:val="00037BE1"/>
    <w:rsid w:val="00056201"/>
    <w:rsid w:val="0009229E"/>
    <w:rsid w:val="000A20EB"/>
    <w:rsid w:val="001045E5"/>
    <w:rsid w:val="00111F47"/>
    <w:rsid w:val="001B48D9"/>
    <w:rsid w:val="002975F2"/>
    <w:rsid w:val="00484430"/>
    <w:rsid w:val="004D3F64"/>
    <w:rsid w:val="005218CC"/>
    <w:rsid w:val="00533F87"/>
    <w:rsid w:val="005979A3"/>
    <w:rsid w:val="005E7DC3"/>
    <w:rsid w:val="00610B14"/>
    <w:rsid w:val="00622578"/>
    <w:rsid w:val="00656069"/>
    <w:rsid w:val="007A3EE9"/>
    <w:rsid w:val="008418BD"/>
    <w:rsid w:val="00842C3C"/>
    <w:rsid w:val="008A1223"/>
    <w:rsid w:val="008B7955"/>
    <w:rsid w:val="00927484"/>
    <w:rsid w:val="00980DEC"/>
    <w:rsid w:val="00C04A88"/>
    <w:rsid w:val="00F17E5A"/>
    <w:rsid w:val="00F532E8"/>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75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B69F6-D909-403C-A311-6DDB0CA5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2070</Words>
  <Characters>12216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6</cp:revision>
  <cp:lastPrinted>2019-09-24T11:27:00Z</cp:lastPrinted>
  <dcterms:created xsi:type="dcterms:W3CDTF">2021-05-31T12:42:00Z</dcterms:created>
  <dcterms:modified xsi:type="dcterms:W3CDTF">2021-06-02T09:30:00Z</dcterms:modified>
</cp:coreProperties>
</file>