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D2" w:rsidRPr="00CC41D2" w:rsidRDefault="00CC41D2" w:rsidP="00CC41D2">
      <w:pPr>
        <w:rPr>
          <w:rFonts w:ascii="Calibri Light" w:hAnsi="Calibri Light"/>
          <w:bCs/>
          <w:iCs/>
          <w:sz w:val="21"/>
          <w:szCs w:val="21"/>
        </w:rPr>
      </w:pPr>
      <w:r w:rsidRPr="00CC41D2">
        <w:rPr>
          <w:rFonts w:ascii="Calibri Light" w:hAnsi="Calibri Light"/>
          <w:bCs/>
          <w:iCs/>
          <w:sz w:val="21"/>
          <w:szCs w:val="21"/>
        </w:rPr>
        <w:t>Zadavatel uvádí podrobné informace k podání nabídek v elektronické podobě: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 xml:space="preserve">Pro podání nabídky v elektronické podobě bude použit certifikovaný elektronický nástroj eGORDION v. 3.3 - Tender arena, (dále jen „Tender arena“) dostupný na internetové adrese </w:t>
      </w:r>
      <w:hyperlink r:id="rId6" w:history="1">
        <w:r w:rsidRPr="00CC41D2">
          <w:rPr>
            <w:rStyle w:val="Hypertextovodkaz"/>
            <w:rFonts w:ascii="Calibri Light" w:hAnsi="Calibri Light"/>
            <w:sz w:val="21"/>
            <w:szCs w:val="21"/>
          </w:rPr>
          <w:t>www.tenderarena.cz</w:t>
        </w:r>
      </w:hyperlink>
      <w:r w:rsidRPr="00CC41D2">
        <w:rPr>
          <w:rFonts w:ascii="Calibri Light" w:hAnsi="Calibri Light"/>
          <w:sz w:val="21"/>
          <w:szCs w:val="21"/>
        </w:rPr>
        <w:t>, kde je rovněž dostupný podrobný návod na jeho použití (odkaz „nápověda“ v zápatí) a kontakty na uživatelskou podporu.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>Účastník zadávacího řízení musí pro podání nabídky disponovat osobním počítačem, s minimálně následujícím výkonem: frekvence CPU 1 GHz, operační paměť 1024 MB, pevný disk 20 GB, osobní počítač musí být připojen k síti Internet, a to s minimální rychlostí připojení 2 Mbps (DOWNLOAD) / 512 Kbps (UPLOAD), účastník zadávacího řízení musí mít v počítači nainstalovaný internetový prohlížeč (Microsoft Internet Explorer verze 9.0 nebo vyšší, Mozilla Firefox verze 30.0 a vyšší), který má nainstalovaný SW Java verze 1.8 a vyšší.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>Účastník zadávacího řízení musí být pro možnost podání nabídky registrován jako dodavatel v elektronickém nástroji Tender arena (odkaz „registrace dodavatele“ na webové stránce www.tenderarena.cz) a uživatel dodavatele musí pro podání nabídky disponovat rolí „účastník zakázky“. Vyřízení registrace trvá max. 48 hodin (v pracovní dny) po doložení všech požadovaných dokladů a není zpoplatněna.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bookmarkStart w:id="0" w:name="_GoBack"/>
      <w:bookmarkEnd w:id="0"/>
      <w:r w:rsidRPr="00CC41D2">
        <w:rPr>
          <w:rFonts w:ascii="Calibri Light" w:hAnsi="Calibri Light"/>
          <w:sz w:val="21"/>
          <w:szCs w:val="21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příloh!).</w:t>
      </w:r>
    </w:p>
    <w:p w:rsidR="0043170B" w:rsidRPr="00CC41D2" w:rsidRDefault="00551678">
      <w:pPr>
        <w:rPr>
          <w:rFonts w:ascii="Calibri Light" w:hAnsi="Calibri Light"/>
          <w:sz w:val="21"/>
          <w:szCs w:val="21"/>
        </w:rPr>
      </w:pPr>
    </w:p>
    <w:sectPr w:rsidR="0043170B" w:rsidRPr="00CC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Yw60go9qMqCct0sd+ddzoI0bDCivdJdCUJemwRwJBw/r45+Z7bjQK4OBQw6Oul/5gaf+TOx0c6jokOH46iToA==" w:salt="3yd0ikyztQ+0LVikgTKb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2"/>
    <w:rsid w:val="003136AA"/>
    <w:rsid w:val="00551678"/>
    <w:rsid w:val="005A5B12"/>
    <w:rsid w:val="00824A0E"/>
    <w:rsid w:val="00C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3DD1-21E8-4439-B58F-8D68150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1D2"/>
    <w:pPr>
      <w:spacing w:after="6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C4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3FAA-149A-434E-9FD1-DC9F2ABF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Blanka</dc:creator>
  <cp:keywords/>
  <dc:description/>
  <cp:lastModifiedBy>Staňková Blanka</cp:lastModifiedBy>
  <cp:revision>3</cp:revision>
  <dcterms:created xsi:type="dcterms:W3CDTF">2018-10-18T11:14:00Z</dcterms:created>
  <dcterms:modified xsi:type="dcterms:W3CDTF">2019-01-08T08:35:00Z</dcterms:modified>
</cp:coreProperties>
</file>