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>sídlem:  I.</w:t>
      </w:r>
      <w:proofErr w:type="gramEnd"/>
      <w:r w:rsidRPr="00920F39">
        <w:rPr>
          <w:rFonts w:ascii="Calibri" w:hAnsi="Calibri" w:cs="Calibri"/>
          <w:sz w:val="20"/>
          <w:szCs w:val="20"/>
        </w:rPr>
        <w:t xml:space="preserve">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r w:rsidR="0050470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="00084ED2">
        <w:rPr>
          <w:rFonts w:cs="Calibri"/>
          <w:sz w:val="20"/>
        </w:rPr>
        <w:t xml:space="preserve">                                        </w:t>
      </w:r>
      <w:r w:rsidR="00882870" w:rsidRPr="00882870">
        <w:rPr>
          <w:rFonts w:asciiTheme="minorHAnsi" w:hAnsiTheme="minorHAnsi" w:cstheme="minorHAnsi"/>
          <w:b/>
          <w:sz w:val="20"/>
        </w:rPr>
        <w:t>„</w:t>
      </w:r>
      <w:r w:rsidR="009172D2" w:rsidRPr="009172D2">
        <w:rPr>
          <w:rFonts w:asciiTheme="minorHAnsi" w:hAnsiTheme="minorHAnsi" w:cstheme="minorHAnsi"/>
          <w:b/>
          <w:sz w:val="20"/>
        </w:rPr>
        <w:t xml:space="preserve">Balónek extrakční </w:t>
      </w:r>
      <w:proofErr w:type="spellStart"/>
      <w:r w:rsidR="009172D2" w:rsidRPr="009172D2">
        <w:rPr>
          <w:rFonts w:asciiTheme="minorHAnsi" w:hAnsiTheme="minorHAnsi" w:cstheme="minorHAnsi"/>
          <w:b/>
          <w:sz w:val="20"/>
        </w:rPr>
        <w:t>trojlumenný</w:t>
      </w:r>
      <w:proofErr w:type="spellEnd"/>
      <w:r w:rsidR="009D21B8">
        <w:rPr>
          <w:rFonts w:asciiTheme="minorHAnsi" w:hAnsiTheme="minorHAnsi" w:cstheme="minorHAnsi"/>
          <w:b/>
          <w:sz w:val="20"/>
        </w:rPr>
        <w:t xml:space="preserve"> II</w:t>
      </w:r>
      <w:r w:rsidR="00882870" w:rsidRPr="00882870">
        <w:rPr>
          <w:rFonts w:asciiTheme="minorHAnsi" w:hAnsiTheme="minorHAnsi" w:cstheme="minorHAnsi"/>
          <w:b/>
          <w:sz w:val="20"/>
        </w:rPr>
        <w:t>“</w:t>
      </w:r>
      <w:r w:rsidR="000D16E0">
        <w:rPr>
          <w:rFonts w:asciiTheme="minorHAnsi" w:hAnsiTheme="minorHAnsi" w:cstheme="minorHAnsi"/>
          <w:b/>
          <w:sz w:val="20"/>
        </w:rPr>
        <w:t xml:space="preserve">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B96B4A">
        <w:rPr>
          <w:rFonts w:asciiTheme="minorHAnsi" w:hAnsiTheme="minorHAnsi" w:cstheme="minorHAnsi"/>
          <w:b/>
          <w:sz w:val="20"/>
        </w:rPr>
        <w:t>1</w:t>
      </w:r>
      <w:r w:rsidR="001F62B7" w:rsidRPr="001F62B7">
        <w:rPr>
          <w:rFonts w:asciiTheme="minorHAnsi" w:hAnsiTheme="minorHAnsi" w:cstheme="minorHAnsi"/>
          <w:b/>
          <w:sz w:val="20"/>
        </w:rPr>
        <w:t>-00</w:t>
      </w:r>
      <w:r w:rsidR="009D21B8">
        <w:rPr>
          <w:rFonts w:asciiTheme="minorHAnsi" w:hAnsiTheme="minorHAnsi" w:cstheme="minorHAnsi"/>
          <w:b/>
          <w:sz w:val="20"/>
        </w:rPr>
        <w:t>112</w:t>
      </w:r>
      <w:r w:rsidR="00B56B34">
        <w:rPr>
          <w:rFonts w:asciiTheme="minorHAnsi" w:hAnsiTheme="minorHAnsi" w:cstheme="minorHAnsi"/>
          <w:b/>
          <w:sz w:val="20"/>
        </w:rPr>
        <w:t>8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color w:val="808080" w:themeColor="background1" w:themeShade="80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882870" w:rsidRPr="00882870">
            <w:rPr>
              <w:rFonts w:ascii="Calibri" w:hAnsi="Calibri" w:cs="Calibri"/>
              <w:color w:val="808080" w:themeColor="background1" w:themeShade="80"/>
              <w:sz w:val="20"/>
              <w:szCs w:val="20"/>
              <w:highlight w:val="lightGray"/>
            </w:rPr>
            <w:t xml:space="preserve">..bude doplněno před podpisem </w:t>
          </w:r>
          <w:proofErr w:type="gramStart"/>
          <w:r w:rsidR="00882870" w:rsidRPr="00882870">
            <w:rPr>
              <w:rFonts w:ascii="Calibri" w:hAnsi="Calibri" w:cs="Calibri"/>
              <w:color w:val="808080" w:themeColor="background1" w:themeShade="80"/>
              <w:sz w:val="20"/>
              <w:szCs w:val="20"/>
              <w:highlight w:val="lightGray"/>
            </w:rPr>
            <w:t>smlouvy.</w:t>
          </w:r>
          <w:r w:rsidR="00B96B4A" w:rsidRPr="00882870">
            <w:rPr>
              <w:rFonts w:ascii="Calibri" w:hAnsi="Calibri" w:cs="Calibri"/>
              <w:color w:val="808080" w:themeColor="background1" w:themeShade="80"/>
              <w:sz w:val="20"/>
              <w:szCs w:val="20"/>
              <w:highlight w:val="lightGray"/>
            </w:rPr>
            <w:t>.</w:t>
          </w:r>
          <w:proofErr w:type="gramEnd"/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882870">
        <w:rPr>
          <w:rFonts w:ascii="Calibri" w:hAnsi="Calibri" w:cs="Calibri"/>
          <w:sz w:val="20"/>
          <w:szCs w:val="20"/>
        </w:rPr>
        <w:t xml:space="preserve"> II. interní kliniky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882870">
        <w:rPr>
          <w:rFonts w:ascii="Calibri" w:hAnsi="Calibri" w:cs="Calibri"/>
          <w:sz w:val="20"/>
          <w:szCs w:val="20"/>
        </w:rPr>
        <w:t>I. P. Pavlova 185/6 v Olomouci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</w:t>
          </w:r>
          <w:proofErr w:type="gramStart"/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Konsignatář po písemné dohodě s konsignantem určí provozovatele konsignačního skladu, který bude zajišťovat přejímku zboží, vydání </w:t>
      </w:r>
      <w:proofErr w:type="gramStart"/>
      <w:r w:rsidRPr="00FD55CD">
        <w:rPr>
          <w:rFonts w:ascii="Calibri" w:hAnsi="Calibri" w:cs="Calibri"/>
          <w:sz w:val="20"/>
          <w:szCs w:val="20"/>
        </w:rPr>
        <w:t>zboží,</w:t>
      </w:r>
      <w:proofErr w:type="gramEnd"/>
      <w:r w:rsidRPr="00FD55CD">
        <w:rPr>
          <w:rFonts w:ascii="Calibri" w:hAnsi="Calibri" w:cs="Calibri"/>
          <w:sz w:val="20"/>
          <w:szCs w:val="20"/>
        </w:rPr>
        <w:t xml:space="preserve">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(výdej ze skladu, dodání do </w:t>
      </w:r>
      <w:proofErr w:type="gramStart"/>
      <w:r w:rsidR="00946304" w:rsidRPr="00B64765">
        <w:rPr>
          <w:rFonts w:ascii="Calibri" w:hAnsi="Calibri" w:cs="Calibri"/>
          <w:sz w:val="20"/>
          <w:szCs w:val="20"/>
        </w:rPr>
        <w:t>skladu</w:t>
      </w:r>
      <w:r w:rsidR="00FD390A" w:rsidRPr="00B64765">
        <w:rPr>
          <w:rFonts w:ascii="Calibri" w:hAnsi="Calibri" w:cs="Calibri"/>
          <w:sz w:val="20"/>
          <w:szCs w:val="20"/>
        </w:rPr>
        <w:t>,</w:t>
      </w:r>
      <w:proofErr w:type="gramEnd"/>
      <w:r w:rsidR="00FD390A" w:rsidRPr="00B64765">
        <w:rPr>
          <w:rFonts w:ascii="Calibri" w:hAnsi="Calibri" w:cs="Calibri"/>
          <w:sz w:val="20"/>
          <w:szCs w:val="20"/>
        </w:rPr>
        <w:t xml:space="preserve">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B96B4A" w:rsidRDefault="00B3394A" w:rsidP="004335D0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 souhlasí s tím, aby pan</w:t>
      </w:r>
      <w:r w:rsidR="002E2AE4">
        <w:rPr>
          <w:rFonts w:ascii="Calibri" w:hAnsi="Calibri" w:cs="Calibri"/>
          <w:sz w:val="20"/>
          <w:szCs w:val="20"/>
        </w:rPr>
        <w:t xml:space="preserve">í </w:t>
      </w:r>
      <w:r w:rsidR="00882870">
        <w:rPr>
          <w:rFonts w:ascii="Calibri" w:hAnsi="Calibri" w:cs="Calibri"/>
          <w:sz w:val="20"/>
          <w:szCs w:val="20"/>
        </w:rPr>
        <w:t>Ivana Kubová</w:t>
      </w:r>
      <w:r w:rsidR="002E2AE4">
        <w:rPr>
          <w:rFonts w:ascii="Calibri" w:hAnsi="Calibri" w:cs="Calibri"/>
          <w:sz w:val="20"/>
          <w:szCs w:val="20"/>
        </w:rPr>
        <w:t xml:space="preserve"> </w:t>
      </w:r>
      <w:r w:rsidR="007B67D7">
        <w:rPr>
          <w:rFonts w:ascii="Calibri" w:hAnsi="Calibri" w:cs="Calibri"/>
          <w:sz w:val="20"/>
          <w:szCs w:val="20"/>
        </w:rPr>
        <w:t>b</w:t>
      </w:r>
      <w:r w:rsidR="007B67D7" w:rsidRPr="00B96B4A">
        <w:rPr>
          <w:rFonts w:ascii="Calibri" w:hAnsi="Calibri" w:cs="Calibri"/>
          <w:sz w:val="20"/>
          <w:szCs w:val="20"/>
        </w:rPr>
        <w:t>yl</w:t>
      </w:r>
      <w:r w:rsidR="007B67D7">
        <w:rPr>
          <w:rFonts w:ascii="Calibri" w:hAnsi="Calibri" w:cs="Calibri"/>
          <w:sz w:val="20"/>
          <w:szCs w:val="20"/>
        </w:rPr>
        <w:t xml:space="preserve">a </w:t>
      </w:r>
      <w:r w:rsidR="007B67D7" w:rsidRPr="00B96B4A">
        <w:rPr>
          <w:rFonts w:ascii="Calibri" w:hAnsi="Calibri" w:cs="Calibri"/>
          <w:sz w:val="20"/>
          <w:szCs w:val="20"/>
        </w:rPr>
        <w:t>provozovatelem</w:t>
      </w:r>
      <w:r w:rsidRPr="00B96B4A">
        <w:rPr>
          <w:rFonts w:ascii="Calibri" w:hAnsi="Calibri" w:cs="Calibri"/>
          <w:sz w:val="20"/>
          <w:szCs w:val="20"/>
        </w:rPr>
        <w:t xml:space="preserve"> konsignačního skladu</w:t>
      </w:r>
      <w:r w:rsidR="00B96B4A">
        <w:rPr>
          <w:rFonts w:ascii="Calibri" w:hAnsi="Calibri" w:cs="Calibri"/>
          <w:sz w:val="20"/>
          <w:szCs w:val="20"/>
        </w:rPr>
        <w:t>, e</w:t>
      </w:r>
      <w:r w:rsidRPr="00B96B4A">
        <w:rPr>
          <w:rFonts w:ascii="Calibri" w:hAnsi="Calibri" w:cs="Calibri"/>
          <w:sz w:val="20"/>
          <w:szCs w:val="20"/>
        </w:rPr>
        <w:t>mail:</w:t>
      </w:r>
      <w:r w:rsidR="00B96721" w:rsidRPr="00B96B4A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882870" w:rsidRPr="009E1200">
          <w:rPr>
            <w:rStyle w:val="Hypertextovodkaz"/>
            <w:rFonts w:ascii="Segoe UI" w:hAnsi="Segoe UI" w:cs="Segoe UI"/>
            <w:sz w:val="19"/>
            <w:szCs w:val="19"/>
          </w:rPr>
          <w:t>ivana.kubova@fnol.cz</w:t>
        </w:r>
      </w:hyperlink>
      <w:r w:rsidR="00E42505" w:rsidRPr="00B96B4A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B96B4A">
        <w:rPr>
          <w:rFonts w:ascii="Calibri" w:hAnsi="Calibri" w:cs="Calibri"/>
          <w:sz w:val="20"/>
          <w:szCs w:val="20"/>
        </w:rPr>
        <w:t>Tel:</w:t>
      </w:r>
      <w:r w:rsidR="002E2AE4">
        <w:rPr>
          <w:rFonts w:ascii="Calibri" w:hAnsi="Calibri" w:cs="Calibri"/>
          <w:sz w:val="20"/>
          <w:szCs w:val="20"/>
        </w:rPr>
        <w:t xml:space="preserve"> 588</w:t>
      </w:r>
      <w:r w:rsidR="00853D8A">
        <w:rPr>
          <w:rFonts w:ascii="Calibri" w:hAnsi="Calibri" w:cs="Calibri"/>
          <w:sz w:val="20"/>
          <w:szCs w:val="20"/>
        </w:rPr>
        <w:t> </w:t>
      </w:r>
      <w:r w:rsidR="002E2AE4">
        <w:rPr>
          <w:rFonts w:ascii="Calibri" w:hAnsi="Calibri" w:cs="Calibri"/>
          <w:sz w:val="20"/>
          <w:szCs w:val="20"/>
        </w:rPr>
        <w:t>44</w:t>
      </w:r>
      <w:r w:rsidR="00882870">
        <w:rPr>
          <w:rFonts w:ascii="Calibri" w:hAnsi="Calibri" w:cs="Calibri"/>
          <w:sz w:val="20"/>
          <w:szCs w:val="20"/>
        </w:rPr>
        <w:t xml:space="preserve"> 5854</w:t>
      </w:r>
      <w:r w:rsidR="00B96B4A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</w:t>
      </w:r>
      <w:proofErr w:type="gramStart"/>
      <w:r w:rsidR="0068101F" w:rsidRPr="006C4A03">
        <w:rPr>
          <w:rFonts w:ascii="Calibri" w:hAnsi="Calibri" w:cs="Calibri"/>
          <w:sz w:val="20"/>
          <w:szCs w:val="20"/>
        </w:rPr>
        <w:t>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</w:t>
      </w:r>
      <w:proofErr w:type="gramEnd"/>
      <w:r w:rsidR="002C7D1F" w:rsidRPr="006C4A03">
        <w:rPr>
          <w:rFonts w:ascii="Calibri" w:hAnsi="Calibri" w:cs="Calibri"/>
          <w:sz w:val="20"/>
          <w:szCs w:val="20"/>
        </w:rPr>
        <w:t xml:space="preserve">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B105D" w:rsidRDefault="00A71AAA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CB105D" w:rsidRPr="00D21789">
        <w:rPr>
          <w:rFonts w:cs="Calibri"/>
          <w:sz w:val="20"/>
        </w:rPr>
        <w:t>Smlouva vstupuje v platnost datem podpisu smlouvy oprávněnými zástupci obou smluvních stran. Smlouva nabývá účinnosti dnem zveřejnění v registru smluv.</w:t>
      </w:r>
    </w:p>
    <w:p w:rsidR="00CB105D" w:rsidRPr="00D21789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D21789">
        <w:rPr>
          <w:rFonts w:cs="Calibri"/>
          <w:sz w:val="20"/>
        </w:rPr>
        <w:t>2.</w:t>
      </w:r>
      <w:r w:rsidRPr="00D21789">
        <w:rPr>
          <w:rFonts w:cs="Calibri"/>
          <w:sz w:val="20"/>
        </w:rPr>
        <w:tab/>
        <w:t>Smlouva se uzavírá na dobu určitou a t</w:t>
      </w:r>
      <w:r w:rsidR="00882870">
        <w:rPr>
          <w:rFonts w:cs="Calibri"/>
          <w:sz w:val="20"/>
        </w:rPr>
        <w:t>o na 24</w:t>
      </w:r>
      <w:r w:rsidRPr="00D21789">
        <w:rPr>
          <w:rFonts w:cs="Calibri"/>
          <w:sz w:val="20"/>
        </w:rPr>
        <w:t xml:space="preserve"> měsíců ode dne účinnosti smlouvy</w:t>
      </w:r>
      <w:r w:rsidRPr="008062C2">
        <w:rPr>
          <w:rFonts w:asciiTheme="minorHAnsi" w:hAnsiTheme="minorHAnsi" w:cstheme="minorHAnsi"/>
          <w:sz w:val="20"/>
        </w:rPr>
        <w:t>.</w:t>
      </w:r>
    </w:p>
    <w:p w:rsidR="00CB105D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</w:p>
    <w:p w:rsidR="00CB105D" w:rsidRPr="00920F39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</w:t>
      </w:r>
      <w:proofErr w:type="gramStart"/>
      <w:r w:rsidRPr="00FD55CD">
        <w:rPr>
          <w:rFonts w:cs="Calibri"/>
          <w:sz w:val="20"/>
        </w:rPr>
        <w:t xml:space="preserve">zboží </w:t>
      </w:r>
      <w:r w:rsidR="00B64765">
        <w:rPr>
          <w:rFonts w:cs="Calibri"/>
          <w:sz w:val="20"/>
        </w:rPr>
        <w:t> a</w:t>
      </w:r>
      <w:proofErr w:type="gramEnd"/>
      <w:r w:rsidR="00B64765">
        <w:rPr>
          <w:rFonts w:cs="Calibri"/>
          <w:sz w:val="20"/>
        </w:rPr>
        <w:t xml:space="preserve">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>o zdravotnických prostředcích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 xml:space="preserve">vadného/nedodaného plnění bude odpovídat alespoň </w:t>
      </w:r>
      <w:proofErr w:type="gramStart"/>
      <w:r w:rsidRPr="00920F39">
        <w:rPr>
          <w:rFonts w:cs="Calibri"/>
          <w:sz w:val="20"/>
        </w:rPr>
        <w:t>5%</w:t>
      </w:r>
      <w:proofErr w:type="gramEnd"/>
      <w:r w:rsidRPr="00920F39">
        <w:rPr>
          <w:rFonts w:cs="Calibri"/>
          <w:sz w:val="20"/>
        </w:rPr>
        <w:t xml:space="preserve">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510D3B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lastRenderedPageBreak/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Tato smlouva byla sepsána ve </w:t>
      </w:r>
      <w:proofErr w:type="gramStart"/>
      <w:r w:rsidRPr="00920F39">
        <w:rPr>
          <w:rFonts w:cs="Calibri"/>
          <w:sz w:val="20"/>
        </w:rPr>
        <w:t>dvou  vyhotoveních</w:t>
      </w:r>
      <w:proofErr w:type="gramEnd"/>
      <w:r w:rsidRPr="00920F39">
        <w:rPr>
          <w:rFonts w:cs="Calibri"/>
          <w:sz w:val="20"/>
        </w:rPr>
        <w:t xml:space="preserve">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2E30B4" w:rsidRPr="00920F39" w:rsidRDefault="002E30B4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</w:t>
          </w:r>
          <w:proofErr w:type="gramStart"/>
          <w:r w:rsidR="006C3940"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6F276C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8A49C3">
      <w:rPr>
        <w:rFonts w:ascii="Calibri" w:hAnsi="Calibri"/>
        <w:noProof/>
        <w:sz w:val="22"/>
        <w:szCs w:val="22"/>
      </w:rPr>
      <w:t>4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ZKZmsf+oTrJlOVbyf9JZ0qU4zfHgStLQmtvs0y2rZvsTipl/jW3g1FHhr0cbw3vCE2UtuWuyl0APzBTGwYRg==" w:salt="ss/UjE7bf89Z/5xzicTyFA==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0D5F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B42AC"/>
    <w:rsid w:val="001C73EE"/>
    <w:rsid w:val="001D00F2"/>
    <w:rsid w:val="001E16AF"/>
    <w:rsid w:val="001F62B7"/>
    <w:rsid w:val="001F7440"/>
    <w:rsid w:val="00200C91"/>
    <w:rsid w:val="002124A0"/>
    <w:rsid w:val="00244068"/>
    <w:rsid w:val="00250F85"/>
    <w:rsid w:val="00261649"/>
    <w:rsid w:val="002801FD"/>
    <w:rsid w:val="00280B74"/>
    <w:rsid w:val="002B03D8"/>
    <w:rsid w:val="002B3314"/>
    <w:rsid w:val="002C7D1F"/>
    <w:rsid w:val="002D134C"/>
    <w:rsid w:val="002E2AE4"/>
    <w:rsid w:val="002E30B4"/>
    <w:rsid w:val="003270CE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2DDC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709"/>
    <w:rsid w:val="00502912"/>
    <w:rsid w:val="00504706"/>
    <w:rsid w:val="00506B1C"/>
    <w:rsid w:val="00510D3B"/>
    <w:rsid w:val="00522A32"/>
    <w:rsid w:val="005237DE"/>
    <w:rsid w:val="0054617B"/>
    <w:rsid w:val="005539DF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B405F"/>
    <w:rsid w:val="006C189B"/>
    <w:rsid w:val="006C3940"/>
    <w:rsid w:val="006C4A03"/>
    <w:rsid w:val="006D0F76"/>
    <w:rsid w:val="006F276C"/>
    <w:rsid w:val="006F27DB"/>
    <w:rsid w:val="00712EEB"/>
    <w:rsid w:val="00722839"/>
    <w:rsid w:val="00734E55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B67D7"/>
    <w:rsid w:val="007D59D1"/>
    <w:rsid w:val="007F5C05"/>
    <w:rsid w:val="008009FB"/>
    <w:rsid w:val="00842414"/>
    <w:rsid w:val="008447DC"/>
    <w:rsid w:val="008509EB"/>
    <w:rsid w:val="00853D8A"/>
    <w:rsid w:val="00856A80"/>
    <w:rsid w:val="0085731D"/>
    <w:rsid w:val="00866D8B"/>
    <w:rsid w:val="0087334D"/>
    <w:rsid w:val="0088094E"/>
    <w:rsid w:val="00882870"/>
    <w:rsid w:val="008861CF"/>
    <w:rsid w:val="00893BC4"/>
    <w:rsid w:val="008A49C3"/>
    <w:rsid w:val="008A51B7"/>
    <w:rsid w:val="008E48A9"/>
    <w:rsid w:val="008E67CF"/>
    <w:rsid w:val="008F1710"/>
    <w:rsid w:val="008F1F8D"/>
    <w:rsid w:val="00904216"/>
    <w:rsid w:val="00914BA1"/>
    <w:rsid w:val="0091559C"/>
    <w:rsid w:val="00915EEE"/>
    <w:rsid w:val="00916B2B"/>
    <w:rsid w:val="009172D2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21B8"/>
    <w:rsid w:val="009D5369"/>
    <w:rsid w:val="009E7F8F"/>
    <w:rsid w:val="00A042B3"/>
    <w:rsid w:val="00A070F7"/>
    <w:rsid w:val="00A114A7"/>
    <w:rsid w:val="00A364C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7CC7"/>
    <w:rsid w:val="00AC4171"/>
    <w:rsid w:val="00AE39C4"/>
    <w:rsid w:val="00AF5CCF"/>
    <w:rsid w:val="00B00982"/>
    <w:rsid w:val="00B029A4"/>
    <w:rsid w:val="00B17EA2"/>
    <w:rsid w:val="00B3394A"/>
    <w:rsid w:val="00B3405C"/>
    <w:rsid w:val="00B56B34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B105D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858AA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EF35D9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5:docId w15:val="{860DA6DF-2CA3-429F-ACAA-28A82A5B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3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kubov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535E8"/>
    <w:rsid w:val="002924A1"/>
    <w:rsid w:val="003204CF"/>
    <w:rsid w:val="003455AF"/>
    <w:rsid w:val="003D0FAF"/>
    <w:rsid w:val="00466A08"/>
    <w:rsid w:val="00551830"/>
    <w:rsid w:val="005B477B"/>
    <w:rsid w:val="005D1DA4"/>
    <w:rsid w:val="00623D3A"/>
    <w:rsid w:val="00626307"/>
    <w:rsid w:val="006374DE"/>
    <w:rsid w:val="006C2D68"/>
    <w:rsid w:val="0074780D"/>
    <w:rsid w:val="00830D6A"/>
    <w:rsid w:val="008974E5"/>
    <w:rsid w:val="009279AC"/>
    <w:rsid w:val="00943F87"/>
    <w:rsid w:val="00951E48"/>
    <w:rsid w:val="00967E32"/>
    <w:rsid w:val="00A150E7"/>
    <w:rsid w:val="00A26206"/>
    <w:rsid w:val="00A85E82"/>
    <w:rsid w:val="00AD0DFC"/>
    <w:rsid w:val="00AE04E0"/>
    <w:rsid w:val="00B378E4"/>
    <w:rsid w:val="00BD2382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C04D-05E4-443C-8A74-80A24A71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1894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74</cp:revision>
  <cp:lastPrinted>2020-06-17T05:27:00Z</cp:lastPrinted>
  <dcterms:created xsi:type="dcterms:W3CDTF">2018-04-05T08:10:00Z</dcterms:created>
  <dcterms:modified xsi:type="dcterms:W3CDTF">2021-10-25T09:57:00Z</dcterms:modified>
</cp:coreProperties>
</file>