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 xml:space="preserve">„Elektrochirurgické generátory“, část </w:t>
      </w:r>
      <w:proofErr w:type="gramStart"/>
      <w:r w:rsidR="005A342F">
        <w:rPr>
          <w:rFonts w:asciiTheme="minorHAnsi" w:hAnsiTheme="minorHAnsi" w:cstheme="minorHAnsi"/>
          <w:b/>
          <w:color w:val="000000" w:themeColor="text1"/>
          <w:sz w:val="20"/>
          <w:szCs w:val="20"/>
        </w:rPr>
        <w:t>I - 2</w:t>
      </w:r>
      <w:proofErr w:type="gramEnd"/>
      <w:r w:rsidR="005A342F">
        <w:rPr>
          <w:rFonts w:asciiTheme="minorHAnsi" w:hAnsiTheme="minorHAnsi" w:cstheme="minorHAnsi"/>
          <w:b/>
          <w:color w:val="000000" w:themeColor="text1"/>
          <w:sz w:val="20"/>
          <w:szCs w:val="20"/>
        </w:rPr>
        <w:t xml:space="preserve"> ks elektrochirurgického generátoru pro COSS a I.IK(OS),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VZ-2022-000643 - 01</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A342F">
        <w:rPr>
          <w:rFonts w:asciiTheme="minorHAnsi" w:hAnsiTheme="minorHAnsi" w:cstheme="minorHAnsi"/>
          <w:b/>
          <w:sz w:val="20"/>
          <w:szCs w:val="20"/>
        </w:rPr>
        <w:t>643-01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5A342F">
            <w:rPr>
              <w:rFonts w:asciiTheme="minorHAnsi" w:hAnsiTheme="minorHAnsi" w:cstheme="minorHAnsi"/>
              <w:sz w:val="20"/>
              <w:szCs w:val="20"/>
            </w:rPr>
            <w:t xml:space="preserve">Centrální operační sály a I. interní </w:t>
          </w:r>
          <w:proofErr w:type="gramStart"/>
          <w:r w:rsidR="005A342F">
            <w:rPr>
              <w:rFonts w:asciiTheme="minorHAnsi" w:hAnsiTheme="minorHAnsi" w:cstheme="minorHAnsi"/>
              <w:sz w:val="20"/>
              <w:szCs w:val="20"/>
            </w:rPr>
            <w:t>klinika - kardiologická</w:t>
          </w:r>
          <w:proofErr w:type="gramEnd"/>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307B2D">
        <w:rPr>
          <w:rFonts w:asciiTheme="minorHAnsi" w:hAnsiTheme="minorHAnsi" w:cs="Calibri"/>
          <w:bCs/>
          <w:i/>
          <w:sz w:val="20"/>
          <w:szCs w:val="20"/>
        </w:rPr>
        <w:t>dodavkaZT</w:t>
      </w:r>
      <w:r w:rsidR="0068701E" w:rsidRPr="00307B2D">
        <w:rPr>
          <w:rFonts w:asciiTheme="minorHAnsi" w:hAnsiTheme="minorHAnsi" w:cstheme="minorHAnsi"/>
          <w:bCs/>
          <w:i/>
          <w:sz w:val="20"/>
          <w:szCs w:val="20"/>
        </w:rPr>
        <w:t>@</w:t>
      </w:r>
      <w:r w:rsidR="0068701E" w:rsidRPr="00307B2D">
        <w:rPr>
          <w:rFonts w:asciiTheme="minorHAnsi" w:hAnsiTheme="minorHAnsi" w:cs="Calibri"/>
          <w:bCs/>
          <w:i/>
          <w:sz w:val="20"/>
          <w:szCs w:val="20"/>
        </w:rPr>
        <w:t>fnol.cz</w:t>
      </w:r>
      <w:r w:rsidR="0068701E" w:rsidRPr="00F8011D">
        <w:rPr>
          <w:rFonts w:asciiTheme="minorHAnsi" w:hAnsiTheme="minorHAnsi" w:cs="Calibri"/>
          <w:bCs/>
          <w:sz w:val="20"/>
          <w:szCs w:val="20"/>
        </w:rPr>
        <w:t xml:space="preserve">,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0643-01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A342F">
        <w:rPr>
          <w:rFonts w:asciiTheme="minorHAnsi" w:hAnsiTheme="minorHAnsi" w:cstheme="minorHAnsi"/>
          <w:b/>
          <w:sz w:val="20"/>
          <w:szCs w:val="20"/>
        </w:rPr>
        <w:t>643-01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A46724">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9Z4R/MY3HrN7nzqXzHNZ9Uy9zIlHqVa8evlNdWU5olGaSgGfeVzlHQYBPsTXWquFX7KMrgVBGqz7JV/T2yx6g==" w:salt="raUOcN8Kd8EMCF2ahZHY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CB94-8F00-41D1-9FCD-5F3A96D5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2827</Words>
  <Characters>16683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32</cp:revision>
  <cp:lastPrinted>2021-11-25T07:27:00Z</cp:lastPrinted>
  <dcterms:created xsi:type="dcterms:W3CDTF">2021-11-16T12:11:00Z</dcterms:created>
  <dcterms:modified xsi:type="dcterms:W3CDTF">2022-06-17T04:35:00Z</dcterms:modified>
</cp:coreProperties>
</file>